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63718" w14:paraId="0E031D06" w14:textId="77777777" w:rsidTr="001C648E">
        <w:tc>
          <w:tcPr>
            <w:tcW w:w="4508" w:type="dxa"/>
          </w:tcPr>
          <w:p w14:paraId="37C264C0" w14:textId="77777777" w:rsidR="00563718" w:rsidRDefault="00563718">
            <w:pPr>
              <w:rPr>
                <w:b/>
                <w:color w:val="1F4E79" w:themeColor="accent1" w:themeShade="80"/>
                <w:sz w:val="32"/>
                <w:szCs w:val="32"/>
              </w:rPr>
            </w:pPr>
            <w:bookmarkStart w:id="0" w:name="_GoBack"/>
            <w:bookmarkEnd w:id="0"/>
            <w:r>
              <w:rPr>
                <w:noProof/>
                <w:lang w:val="en-US"/>
              </w:rPr>
              <w:drawing>
                <wp:inline distT="0" distB="0" distL="0" distR="0" wp14:anchorId="00DCEBA4" wp14:editId="36489D37">
                  <wp:extent cx="1716852" cy="745956"/>
                  <wp:effectExtent l="0" t="0" r="0" b="0"/>
                  <wp:docPr id="3" name="Picture 3" descr="ETF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 MAST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5029" cy="753854"/>
                          </a:xfrm>
                          <a:prstGeom prst="rect">
                            <a:avLst/>
                          </a:prstGeom>
                          <a:noFill/>
                          <a:ln>
                            <a:noFill/>
                          </a:ln>
                        </pic:spPr>
                      </pic:pic>
                    </a:graphicData>
                  </a:graphic>
                </wp:inline>
              </w:drawing>
            </w:r>
          </w:p>
        </w:tc>
        <w:tc>
          <w:tcPr>
            <w:tcW w:w="4508" w:type="dxa"/>
          </w:tcPr>
          <w:p w14:paraId="379FF191" w14:textId="77777777" w:rsidR="00563718" w:rsidRDefault="00563718" w:rsidP="00563718">
            <w:pPr>
              <w:jc w:val="right"/>
              <w:rPr>
                <w:b/>
                <w:color w:val="1F4E79" w:themeColor="accent1" w:themeShade="80"/>
                <w:sz w:val="32"/>
                <w:szCs w:val="32"/>
              </w:rPr>
            </w:pPr>
            <w:r w:rsidRPr="0032255F">
              <w:rPr>
                <w:noProof/>
                <w:lang w:val="en-US"/>
              </w:rPr>
              <w:drawing>
                <wp:inline distT="0" distB="0" distL="0" distR="0" wp14:anchorId="1AC40806" wp14:editId="6D74803B">
                  <wp:extent cx="850712" cy="102976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902" cy="1057831"/>
                          </a:xfrm>
                          <a:prstGeom prst="rect">
                            <a:avLst/>
                          </a:prstGeom>
                          <a:noFill/>
                          <a:ln>
                            <a:noFill/>
                          </a:ln>
                        </pic:spPr>
                      </pic:pic>
                    </a:graphicData>
                  </a:graphic>
                </wp:inline>
              </w:drawing>
            </w:r>
          </w:p>
        </w:tc>
      </w:tr>
    </w:tbl>
    <w:p w14:paraId="63038013" w14:textId="054237BC" w:rsidR="00A54740" w:rsidRPr="00051339" w:rsidRDefault="00C17539" w:rsidP="003B0BE5">
      <w:pPr>
        <w:spacing w:after="0"/>
        <w:ind w:left="-284" w:right="-188"/>
        <w:jc w:val="center"/>
        <w:rPr>
          <w:b/>
          <w:color w:val="1F4E79" w:themeColor="accent1" w:themeShade="80"/>
          <w:sz w:val="44"/>
          <w:szCs w:val="44"/>
        </w:rPr>
      </w:pPr>
      <w:r w:rsidRPr="00051339">
        <w:rPr>
          <w:b/>
          <w:color w:val="1F4E79" w:themeColor="accent1" w:themeShade="80"/>
          <w:sz w:val="44"/>
          <w:szCs w:val="44"/>
        </w:rPr>
        <w:t>ETF</w:t>
      </w:r>
      <w:r w:rsidR="00A54740" w:rsidRPr="00051339">
        <w:rPr>
          <w:b/>
          <w:color w:val="1F4E79" w:themeColor="accent1" w:themeShade="80"/>
          <w:sz w:val="44"/>
          <w:szCs w:val="44"/>
        </w:rPr>
        <w:t xml:space="preserve"> </w:t>
      </w:r>
      <w:r w:rsidRPr="00051339">
        <w:rPr>
          <w:b/>
          <w:color w:val="1F4E79" w:themeColor="accent1" w:themeShade="80"/>
          <w:sz w:val="44"/>
          <w:szCs w:val="44"/>
        </w:rPr>
        <w:t xml:space="preserve">Entrepreneurship </w:t>
      </w:r>
      <w:r w:rsidR="0005158C" w:rsidRPr="00051339">
        <w:rPr>
          <w:b/>
          <w:color w:val="1F4E79" w:themeColor="accent1" w:themeShade="80"/>
          <w:sz w:val="44"/>
          <w:szCs w:val="44"/>
        </w:rPr>
        <w:t>Award</w:t>
      </w:r>
    </w:p>
    <w:p w14:paraId="18553704" w14:textId="77777777" w:rsidR="00563718" w:rsidRDefault="00563718" w:rsidP="001C648E">
      <w:pPr>
        <w:spacing w:after="0"/>
        <w:ind w:left="-284"/>
        <w:rPr>
          <w:b/>
          <w:color w:val="1F4E79" w:themeColor="accent1" w:themeShade="80"/>
        </w:rPr>
      </w:pPr>
    </w:p>
    <w:p w14:paraId="0A5528C0" w14:textId="273CA937" w:rsidR="004E1B12" w:rsidRPr="00051339" w:rsidRDefault="006D49CE" w:rsidP="00A24E3C">
      <w:pPr>
        <w:spacing w:before="120" w:after="120"/>
        <w:ind w:left="-284"/>
        <w:rPr>
          <w:b/>
          <w:color w:val="1F4E79" w:themeColor="accent1" w:themeShade="80"/>
          <w:sz w:val="28"/>
          <w:szCs w:val="28"/>
        </w:rPr>
      </w:pPr>
      <w:r w:rsidRPr="00051339">
        <w:rPr>
          <w:b/>
          <w:color w:val="1F4E79" w:themeColor="accent1" w:themeShade="80"/>
          <w:sz w:val="28"/>
          <w:szCs w:val="28"/>
        </w:rPr>
        <w:t xml:space="preserve">Why </w:t>
      </w:r>
      <w:r w:rsidR="007A34D3" w:rsidRPr="00051339">
        <w:rPr>
          <w:b/>
          <w:color w:val="1F4E79" w:themeColor="accent1" w:themeShade="80"/>
          <w:sz w:val="28"/>
          <w:szCs w:val="28"/>
        </w:rPr>
        <w:t>an</w:t>
      </w:r>
      <w:r w:rsidRPr="00051339">
        <w:rPr>
          <w:b/>
          <w:color w:val="1F4E79" w:themeColor="accent1" w:themeShade="80"/>
          <w:sz w:val="28"/>
          <w:szCs w:val="28"/>
        </w:rPr>
        <w:t xml:space="preserve"> </w:t>
      </w:r>
      <w:r w:rsidR="00605014" w:rsidRPr="00051339">
        <w:rPr>
          <w:b/>
          <w:color w:val="1F4E79" w:themeColor="accent1" w:themeShade="80"/>
          <w:sz w:val="28"/>
          <w:szCs w:val="28"/>
        </w:rPr>
        <w:t>ETF</w:t>
      </w:r>
      <w:r w:rsidRPr="00051339">
        <w:rPr>
          <w:b/>
          <w:color w:val="1F4E79" w:themeColor="accent1" w:themeShade="80"/>
          <w:sz w:val="28"/>
          <w:szCs w:val="28"/>
        </w:rPr>
        <w:t xml:space="preserve"> </w:t>
      </w:r>
      <w:r w:rsidR="00605014" w:rsidRPr="00051339">
        <w:rPr>
          <w:b/>
          <w:color w:val="1F4E79" w:themeColor="accent1" w:themeShade="80"/>
          <w:sz w:val="28"/>
          <w:szCs w:val="28"/>
        </w:rPr>
        <w:t>Entrepreneurship Award</w:t>
      </w:r>
      <w:r w:rsidRPr="00051339">
        <w:rPr>
          <w:b/>
          <w:color w:val="1F4E79" w:themeColor="accent1" w:themeShade="80"/>
          <w:sz w:val="28"/>
          <w:szCs w:val="28"/>
        </w:rPr>
        <w:t>?</w:t>
      </w:r>
    </w:p>
    <w:p w14:paraId="7A14F041" w14:textId="73768560" w:rsidR="00DC6952" w:rsidRDefault="004E1B12" w:rsidP="00890A6E">
      <w:pPr>
        <w:spacing w:after="0"/>
        <w:ind w:left="-284"/>
        <w:rPr>
          <w:color w:val="1F4E79" w:themeColor="accent1" w:themeShade="80"/>
        </w:rPr>
      </w:pPr>
      <w:r w:rsidRPr="004E1B12">
        <w:rPr>
          <w:color w:val="1F4E79" w:themeColor="accent1" w:themeShade="80"/>
        </w:rPr>
        <w:t xml:space="preserve">How entrepreneurship is promoted through vocational education and training is acquiring increasing policy attention in the European Union set against efforts to build more competitive and employable economies. Entrepreneurship as a key competence, essential to building entrepreneurial </w:t>
      </w:r>
      <w:proofErr w:type="spellStart"/>
      <w:r w:rsidRPr="004E1B12">
        <w:rPr>
          <w:color w:val="1F4E79" w:themeColor="accent1" w:themeShade="80"/>
        </w:rPr>
        <w:t>mindsets</w:t>
      </w:r>
      <w:proofErr w:type="spellEnd"/>
      <w:r w:rsidRPr="004E1B12">
        <w:rPr>
          <w:color w:val="1F4E79" w:themeColor="accent1" w:themeShade="80"/>
        </w:rPr>
        <w:t xml:space="preserve"> and character of young people in particular, is the latest area of policy development. Given that the entrepreneurship key competence area is still developing, access to </w:t>
      </w:r>
      <w:hyperlink r:id="rId14" w:history="1">
        <w:r w:rsidRPr="004E1B12">
          <w:rPr>
            <w:rStyle w:val="Hyperlink"/>
          </w:rPr>
          <w:t>good practice</w:t>
        </w:r>
      </w:hyperlink>
      <w:r w:rsidRPr="004E1B12">
        <w:rPr>
          <w:color w:val="1F4E79" w:themeColor="accent1" w:themeShade="80"/>
        </w:rPr>
        <w:t xml:space="preserve"> provides teachers, curriculum specialists, training providers, as well as policymakers, with ideas and opportunities to develop their own work. </w:t>
      </w:r>
    </w:p>
    <w:p w14:paraId="145C5975" w14:textId="77777777" w:rsidR="00DC6952" w:rsidRDefault="00DC6952" w:rsidP="00890A6E">
      <w:pPr>
        <w:spacing w:after="0"/>
        <w:ind w:left="-284"/>
        <w:rPr>
          <w:color w:val="1F4E79" w:themeColor="accent1" w:themeShade="80"/>
        </w:rPr>
      </w:pPr>
    </w:p>
    <w:p w14:paraId="5E13426E" w14:textId="1A7B2F3B" w:rsidR="00890A6E" w:rsidRDefault="004E1B12" w:rsidP="00890A6E">
      <w:pPr>
        <w:spacing w:after="0"/>
        <w:ind w:left="-284"/>
        <w:rPr>
          <w:color w:val="1F4E79" w:themeColor="accent1" w:themeShade="80"/>
        </w:rPr>
      </w:pPr>
      <w:r w:rsidRPr="004E1B12">
        <w:rPr>
          <w:color w:val="1F4E79" w:themeColor="accent1" w:themeShade="80"/>
        </w:rPr>
        <w:t xml:space="preserve">Through its work, </w:t>
      </w:r>
      <w:r w:rsidR="003A758C">
        <w:rPr>
          <w:color w:val="1F4E79" w:themeColor="accent1" w:themeShade="80"/>
        </w:rPr>
        <w:t>the European Training Foundation (</w:t>
      </w:r>
      <w:r w:rsidRPr="004E1B12">
        <w:rPr>
          <w:color w:val="1F4E79" w:themeColor="accent1" w:themeShade="80"/>
        </w:rPr>
        <w:t>ETF</w:t>
      </w:r>
      <w:r w:rsidR="003A758C">
        <w:rPr>
          <w:color w:val="1F4E79" w:themeColor="accent1" w:themeShade="80"/>
        </w:rPr>
        <w:t>)</w:t>
      </w:r>
      <w:r w:rsidRPr="004E1B12">
        <w:rPr>
          <w:color w:val="1F4E79" w:themeColor="accent1" w:themeShade="80"/>
        </w:rPr>
        <w:t xml:space="preserve"> encourages its partner countries also to consider developing entrepreneurship key competence within vocati</w:t>
      </w:r>
      <w:r w:rsidR="00687C31">
        <w:rPr>
          <w:color w:val="1F4E79" w:themeColor="accent1" w:themeShade="80"/>
        </w:rPr>
        <w:t>onal education and training; as</w:t>
      </w:r>
      <w:r w:rsidRPr="004E1B12">
        <w:rPr>
          <w:color w:val="1F4E79" w:themeColor="accent1" w:themeShade="80"/>
        </w:rPr>
        <w:t xml:space="preserve"> well as to share their good practice. To this end, ETF is launching a call for good practice to identify good practice in entrepreneurship key competence promotion. The </w:t>
      </w:r>
      <w:r w:rsidR="00DC6952">
        <w:rPr>
          <w:color w:val="1F4E79" w:themeColor="accent1" w:themeShade="80"/>
        </w:rPr>
        <w:t xml:space="preserve">training provider selected for the </w:t>
      </w:r>
      <w:r w:rsidRPr="004E1B12">
        <w:rPr>
          <w:color w:val="1F4E79" w:themeColor="accent1" w:themeShade="80"/>
        </w:rPr>
        <w:t xml:space="preserve">best good practice will receive a dedicated award in </w:t>
      </w:r>
      <w:r w:rsidR="00687C31">
        <w:rPr>
          <w:color w:val="1F4E79" w:themeColor="accent1" w:themeShade="80"/>
        </w:rPr>
        <w:t>recognition of their work</w:t>
      </w:r>
      <w:r w:rsidR="00DC6952">
        <w:rPr>
          <w:color w:val="1F4E79" w:themeColor="accent1" w:themeShade="80"/>
        </w:rPr>
        <w:t xml:space="preserve"> </w:t>
      </w:r>
      <w:r w:rsidR="003B7A32">
        <w:rPr>
          <w:color w:val="1F4E79" w:themeColor="accent1" w:themeShade="80"/>
        </w:rPr>
        <w:t xml:space="preserve">that </w:t>
      </w:r>
      <w:r w:rsidR="00DC6952">
        <w:rPr>
          <w:color w:val="1F4E79" w:themeColor="accent1" w:themeShade="80"/>
        </w:rPr>
        <w:t>will be disseminated at a high-level EU meeting in Vienna in November 2018 as well as through</w:t>
      </w:r>
      <w:r w:rsidRPr="004E1B12">
        <w:rPr>
          <w:color w:val="1F4E79" w:themeColor="accent1" w:themeShade="80"/>
        </w:rPr>
        <w:t xml:space="preserve"> ETF networks.</w:t>
      </w:r>
    </w:p>
    <w:p w14:paraId="6C22A98F" w14:textId="1703FF6C" w:rsidR="008929D7" w:rsidRPr="00051339" w:rsidRDefault="008929D7" w:rsidP="00051339">
      <w:pPr>
        <w:spacing w:before="120" w:after="120"/>
        <w:ind w:left="-284"/>
        <w:rPr>
          <w:b/>
          <w:color w:val="1F4E79" w:themeColor="accent1" w:themeShade="80"/>
          <w:sz w:val="28"/>
          <w:szCs w:val="28"/>
        </w:rPr>
      </w:pPr>
    </w:p>
    <w:p w14:paraId="2FA500EA" w14:textId="77777777" w:rsidR="008929D7" w:rsidRPr="00051339" w:rsidRDefault="008929D7" w:rsidP="008929D7">
      <w:pPr>
        <w:spacing w:before="120" w:after="120"/>
        <w:ind w:left="-284"/>
        <w:rPr>
          <w:b/>
          <w:color w:val="1F4E79" w:themeColor="accent1" w:themeShade="80"/>
          <w:sz w:val="28"/>
          <w:szCs w:val="28"/>
        </w:rPr>
      </w:pPr>
      <w:r w:rsidRPr="00051339">
        <w:rPr>
          <w:b/>
          <w:color w:val="1F4E79" w:themeColor="accent1" w:themeShade="80"/>
          <w:sz w:val="28"/>
          <w:szCs w:val="28"/>
        </w:rPr>
        <w:t>What is EntreComp?</w:t>
      </w:r>
    </w:p>
    <w:p w14:paraId="6820CB86" w14:textId="676B5769" w:rsidR="008929D7" w:rsidRDefault="008929D7" w:rsidP="008929D7">
      <w:pPr>
        <w:ind w:left="-284"/>
        <w:rPr>
          <w:color w:val="1F4E79" w:themeColor="accent1" w:themeShade="80"/>
        </w:rPr>
      </w:pPr>
      <w:r w:rsidRPr="00697702">
        <w:rPr>
          <w:color w:val="1F4E79" w:themeColor="accent1" w:themeShade="80"/>
        </w:rPr>
        <w:t>EntreComp</w:t>
      </w:r>
      <w:r>
        <w:rPr>
          <w:color w:val="1F4E79" w:themeColor="accent1" w:themeShade="80"/>
        </w:rPr>
        <w:t>,</w:t>
      </w:r>
      <w:r w:rsidRPr="006E2D81">
        <w:rPr>
          <w:color w:val="1F4E79" w:themeColor="accent1" w:themeShade="80"/>
        </w:rPr>
        <w:t xml:space="preserve"> </w:t>
      </w:r>
      <w:r w:rsidRPr="006D38AA">
        <w:rPr>
          <w:color w:val="1F4E79" w:themeColor="accent1" w:themeShade="80"/>
        </w:rPr>
        <w:t xml:space="preserve">the </w:t>
      </w:r>
      <w:hyperlink r:id="rId15" w:history="1">
        <w:r w:rsidRPr="00697702">
          <w:rPr>
            <w:rStyle w:val="Hyperlink"/>
          </w:rPr>
          <w:t>European Entrepreneurship Competence Framework</w:t>
        </w:r>
      </w:hyperlink>
      <w:r>
        <w:rPr>
          <w:color w:val="1F4E79" w:themeColor="accent1" w:themeShade="80"/>
        </w:rPr>
        <w:t xml:space="preserve">, is made up of three </w:t>
      </w:r>
      <w:r w:rsidRPr="00266C31">
        <w:rPr>
          <w:color w:val="1F4E79" w:themeColor="accent1" w:themeShade="80"/>
        </w:rPr>
        <w:t xml:space="preserve">competence areas: </w:t>
      </w:r>
      <w:r>
        <w:rPr>
          <w:color w:val="1F4E79" w:themeColor="accent1" w:themeShade="80"/>
        </w:rPr>
        <w:t xml:space="preserve">a) </w:t>
      </w:r>
      <w:r w:rsidRPr="00266C31">
        <w:rPr>
          <w:color w:val="1F4E79" w:themeColor="accent1" w:themeShade="80"/>
        </w:rPr>
        <w:t xml:space="preserve">Ideas &amp; Opportunities, </w:t>
      </w:r>
      <w:r>
        <w:rPr>
          <w:color w:val="1F4E79" w:themeColor="accent1" w:themeShade="80"/>
        </w:rPr>
        <w:t xml:space="preserve">b) </w:t>
      </w:r>
      <w:r w:rsidRPr="00266C31">
        <w:rPr>
          <w:color w:val="1F4E79" w:themeColor="accent1" w:themeShade="80"/>
        </w:rPr>
        <w:t>Resources,</w:t>
      </w:r>
      <w:r>
        <w:rPr>
          <w:color w:val="1F4E79" w:themeColor="accent1" w:themeShade="80"/>
        </w:rPr>
        <w:t xml:space="preserve"> </w:t>
      </w:r>
      <w:r w:rsidRPr="00266C31">
        <w:rPr>
          <w:color w:val="1F4E79" w:themeColor="accent1" w:themeShade="80"/>
        </w:rPr>
        <w:t xml:space="preserve">and </w:t>
      </w:r>
      <w:r>
        <w:rPr>
          <w:color w:val="1F4E79" w:themeColor="accent1" w:themeShade="80"/>
        </w:rPr>
        <w:t xml:space="preserve">c) </w:t>
      </w:r>
      <w:r w:rsidRPr="00266C31">
        <w:rPr>
          <w:color w:val="1F4E79" w:themeColor="accent1" w:themeShade="80"/>
        </w:rPr>
        <w:t xml:space="preserve">Into Action. </w:t>
      </w:r>
      <w:r w:rsidRPr="00CF6FA7">
        <w:rPr>
          <w:color w:val="1F4E79" w:themeColor="accent1" w:themeShade="80"/>
        </w:rPr>
        <w:t>E</w:t>
      </w:r>
      <w:r>
        <w:rPr>
          <w:color w:val="1F4E79" w:themeColor="accent1" w:themeShade="80"/>
        </w:rPr>
        <w:t>ach of the areas comprises five</w:t>
      </w:r>
      <w:r w:rsidRPr="00CF6FA7">
        <w:rPr>
          <w:color w:val="1F4E79" w:themeColor="accent1" w:themeShade="80"/>
        </w:rPr>
        <w:t xml:space="preserve"> competences</w:t>
      </w:r>
      <w:r>
        <w:rPr>
          <w:color w:val="1F4E79" w:themeColor="accent1" w:themeShade="80"/>
        </w:rPr>
        <w:t xml:space="preserve"> that </w:t>
      </w:r>
      <w:r w:rsidRPr="00CF6FA7">
        <w:rPr>
          <w:color w:val="1F4E79" w:themeColor="accent1" w:themeShade="80"/>
        </w:rPr>
        <w:t>together constitute the building blocks of entrepreneurship as a competence.</w:t>
      </w:r>
      <w:r>
        <w:rPr>
          <w:color w:val="1F4E79" w:themeColor="accent1" w:themeShade="80"/>
        </w:rPr>
        <w:t xml:space="preserve"> </w:t>
      </w:r>
      <w:r w:rsidRPr="00DD1BFF">
        <w:rPr>
          <w:color w:val="1F4E79" w:themeColor="accent1" w:themeShade="80"/>
        </w:rPr>
        <w:t xml:space="preserve">The framework develops the 15 competences along an 8-level </w:t>
      </w:r>
      <w:r>
        <w:rPr>
          <w:color w:val="1F4E79" w:themeColor="accent1" w:themeShade="80"/>
        </w:rPr>
        <w:t xml:space="preserve">life-long learning </w:t>
      </w:r>
      <w:r w:rsidRPr="00DD1BFF">
        <w:rPr>
          <w:color w:val="1F4E79" w:themeColor="accent1" w:themeShade="80"/>
        </w:rPr>
        <w:t>model</w:t>
      </w:r>
      <w:r>
        <w:rPr>
          <w:color w:val="1F4E79" w:themeColor="accent1" w:themeShade="80"/>
        </w:rPr>
        <w:t xml:space="preserve">. It also includes examples of </w:t>
      </w:r>
      <w:r w:rsidRPr="00DD1BFF">
        <w:rPr>
          <w:color w:val="1F4E79" w:themeColor="accent1" w:themeShade="80"/>
        </w:rPr>
        <w:t>learning outcomes</w:t>
      </w:r>
      <w:r>
        <w:rPr>
          <w:color w:val="1F4E79" w:themeColor="accent1" w:themeShade="80"/>
        </w:rPr>
        <w:t xml:space="preserve"> for the competence areas</w:t>
      </w:r>
      <w:r w:rsidRPr="00DD1BFF">
        <w:rPr>
          <w:color w:val="1F4E79" w:themeColor="accent1" w:themeShade="80"/>
        </w:rPr>
        <w:t xml:space="preserve">. </w:t>
      </w:r>
      <w:r>
        <w:rPr>
          <w:color w:val="1F4E79" w:themeColor="accent1" w:themeShade="80"/>
        </w:rPr>
        <w:t>EntreComp</w:t>
      </w:r>
      <w:r w:rsidRPr="00DD1BFF">
        <w:rPr>
          <w:color w:val="1F4E79" w:themeColor="accent1" w:themeShade="80"/>
        </w:rPr>
        <w:t xml:space="preserve"> can be used as a basis for the development of curricula</w:t>
      </w:r>
      <w:r>
        <w:rPr>
          <w:color w:val="1F4E79" w:themeColor="accent1" w:themeShade="80"/>
        </w:rPr>
        <w:t xml:space="preserve"> and learning outcomes, as well as teaching and learning plans. It can also be</w:t>
      </w:r>
      <w:r w:rsidRPr="00DD1BFF">
        <w:rPr>
          <w:color w:val="1F4E79" w:themeColor="accent1" w:themeShade="80"/>
        </w:rPr>
        <w:t xml:space="preserve"> </w:t>
      </w:r>
      <w:r>
        <w:rPr>
          <w:color w:val="1F4E79" w:themeColor="accent1" w:themeShade="80"/>
        </w:rPr>
        <w:t>used for assessment purposes of pupils and students (see annex 1 for more details).</w:t>
      </w:r>
    </w:p>
    <w:p w14:paraId="0AE4C1DF" w14:textId="57C07B40" w:rsidR="009E0076" w:rsidRDefault="009E0076" w:rsidP="00890A6E">
      <w:pPr>
        <w:spacing w:after="0"/>
        <w:ind w:left="-284"/>
        <w:rPr>
          <w:b/>
          <w:color w:val="1F4E79" w:themeColor="accent1" w:themeShade="80"/>
        </w:rPr>
      </w:pPr>
      <w:r>
        <w:rPr>
          <w:noProof/>
          <w:color w:val="1D2129"/>
          <w:lang w:val="en-US"/>
        </w:rPr>
        <w:drawing>
          <wp:anchor distT="0" distB="0" distL="114300" distR="114300" simplePos="0" relativeHeight="251658240" behindDoc="0" locked="0" layoutInCell="1" allowOverlap="1" wp14:anchorId="51C5937E" wp14:editId="7FA89A4C">
            <wp:simplePos x="0" y="0"/>
            <wp:positionH relativeFrom="margin">
              <wp:posOffset>1731645</wp:posOffset>
            </wp:positionH>
            <wp:positionV relativeFrom="paragraph">
              <wp:posOffset>156210</wp:posOffset>
            </wp:positionV>
            <wp:extent cx="2271395" cy="2305050"/>
            <wp:effectExtent l="0" t="0" r="0" b="0"/>
            <wp:wrapSquare wrapText="bothSides"/>
            <wp:docPr id="7" name="Picture 7"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912" t="9753" r="10359" b="10383"/>
                    <a:stretch/>
                  </pic:blipFill>
                  <pic:spPr bwMode="auto">
                    <a:xfrm>
                      <a:off x="0" y="0"/>
                      <a:ext cx="2271395" cy="230505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D5876D" w14:textId="77777777" w:rsidR="00CE3F59" w:rsidRDefault="00CE3F59" w:rsidP="00A24E3C">
      <w:pPr>
        <w:spacing w:before="120" w:after="120"/>
        <w:ind w:left="-284"/>
        <w:rPr>
          <w:b/>
          <w:color w:val="1F4E79" w:themeColor="accent1" w:themeShade="80"/>
        </w:rPr>
      </w:pPr>
    </w:p>
    <w:p w14:paraId="68509AFA" w14:textId="77777777" w:rsidR="00CE3F59" w:rsidRDefault="00CE3F59" w:rsidP="00CE3F59">
      <w:pPr>
        <w:spacing w:before="120" w:after="120"/>
        <w:rPr>
          <w:b/>
          <w:color w:val="1F4E79" w:themeColor="accent1" w:themeShade="80"/>
        </w:rPr>
      </w:pPr>
    </w:p>
    <w:p w14:paraId="77564AAC" w14:textId="77777777" w:rsidR="00CE3F59" w:rsidRDefault="00CE3F59" w:rsidP="00CE3F59">
      <w:pPr>
        <w:spacing w:before="120" w:after="120"/>
        <w:rPr>
          <w:b/>
          <w:color w:val="1F4E79" w:themeColor="accent1" w:themeShade="80"/>
        </w:rPr>
      </w:pPr>
    </w:p>
    <w:p w14:paraId="447BB13B" w14:textId="77777777" w:rsidR="00CE3F59" w:rsidRDefault="00CE3F59" w:rsidP="00CE3F59">
      <w:pPr>
        <w:spacing w:before="120" w:after="120"/>
        <w:rPr>
          <w:b/>
          <w:color w:val="1F4E79" w:themeColor="accent1" w:themeShade="80"/>
        </w:rPr>
      </w:pPr>
    </w:p>
    <w:p w14:paraId="584AEAF1" w14:textId="77777777" w:rsidR="00CE3F59" w:rsidRDefault="00CE3F59" w:rsidP="00CE3F59">
      <w:pPr>
        <w:spacing w:before="120" w:after="120"/>
        <w:rPr>
          <w:b/>
          <w:color w:val="1F4E79" w:themeColor="accent1" w:themeShade="80"/>
        </w:rPr>
      </w:pPr>
    </w:p>
    <w:p w14:paraId="4D23F678" w14:textId="77777777" w:rsidR="00CE3F59" w:rsidRDefault="00CE3F59" w:rsidP="00CE3F59">
      <w:pPr>
        <w:spacing w:before="120" w:after="120"/>
        <w:rPr>
          <w:b/>
          <w:color w:val="1F4E79" w:themeColor="accent1" w:themeShade="80"/>
        </w:rPr>
      </w:pPr>
    </w:p>
    <w:p w14:paraId="77B3280A" w14:textId="77777777" w:rsidR="00CE3F59" w:rsidRDefault="00CE3F59" w:rsidP="00CE3F59">
      <w:pPr>
        <w:spacing w:before="120" w:after="120"/>
        <w:rPr>
          <w:b/>
          <w:color w:val="1F4E79" w:themeColor="accent1" w:themeShade="80"/>
        </w:rPr>
      </w:pPr>
    </w:p>
    <w:p w14:paraId="2F140EA8" w14:textId="77777777" w:rsidR="00CE3F59" w:rsidRDefault="00CE3F59" w:rsidP="00CE3F59">
      <w:pPr>
        <w:spacing w:before="120" w:after="120"/>
        <w:rPr>
          <w:b/>
          <w:color w:val="1F4E79" w:themeColor="accent1" w:themeShade="80"/>
        </w:rPr>
      </w:pPr>
    </w:p>
    <w:p w14:paraId="2F8302CC" w14:textId="77777777" w:rsidR="00CE3F59" w:rsidRDefault="00CE3F59" w:rsidP="00CE3F59">
      <w:pPr>
        <w:spacing w:before="120" w:after="120"/>
        <w:rPr>
          <w:b/>
          <w:color w:val="1F4E79" w:themeColor="accent1" w:themeShade="80"/>
        </w:rPr>
      </w:pPr>
    </w:p>
    <w:p w14:paraId="6DBFE903" w14:textId="77777777" w:rsidR="00CE3F59" w:rsidRDefault="00CE3F59" w:rsidP="00CE3F59">
      <w:pPr>
        <w:spacing w:before="120" w:after="120"/>
        <w:rPr>
          <w:b/>
          <w:color w:val="1F4E79" w:themeColor="accent1" w:themeShade="80"/>
        </w:rPr>
      </w:pPr>
    </w:p>
    <w:p w14:paraId="561384DE" w14:textId="77777777" w:rsidR="00233A5B" w:rsidRPr="00051339" w:rsidRDefault="00233A5B" w:rsidP="00A24E3C">
      <w:pPr>
        <w:spacing w:before="120" w:after="120"/>
        <w:ind w:left="-284"/>
        <w:rPr>
          <w:b/>
          <w:color w:val="1F4E79" w:themeColor="accent1" w:themeShade="80"/>
          <w:sz w:val="28"/>
          <w:szCs w:val="28"/>
        </w:rPr>
      </w:pPr>
      <w:r w:rsidRPr="00051339">
        <w:rPr>
          <w:b/>
          <w:color w:val="1F4E79" w:themeColor="accent1" w:themeShade="80"/>
          <w:sz w:val="28"/>
          <w:szCs w:val="28"/>
        </w:rPr>
        <w:t>Who can participate?</w:t>
      </w:r>
    </w:p>
    <w:p w14:paraId="26D98189" w14:textId="319B2810" w:rsidR="00EE2B9C" w:rsidRDefault="00233A5B" w:rsidP="00EE2B9C">
      <w:pPr>
        <w:spacing w:after="0"/>
        <w:ind w:left="-284"/>
        <w:rPr>
          <w:color w:val="1F4E79" w:themeColor="accent1" w:themeShade="80"/>
        </w:rPr>
      </w:pPr>
      <w:r w:rsidRPr="006D38AA">
        <w:rPr>
          <w:color w:val="1F4E79" w:themeColor="accent1" w:themeShade="80"/>
        </w:rPr>
        <w:t xml:space="preserve">The competition is open to </w:t>
      </w:r>
      <w:r w:rsidR="00C906A1" w:rsidRPr="006D38AA">
        <w:rPr>
          <w:color w:val="1F4E79" w:themeColor="accent1" w:themeShade="80"/>
        </w:rPr>
        <w:t xml:space="preserve">all </w:t>
      </w:r>
      <w:r w:rsidR="00B43A19">
        <w:rPr>
          <w:color w:val="1F4E79" w:themeColor="accent1" w:themeShade="80"/>
        </w:rPr>
        <w:t xml:space="preserve">schools, universities and </w:t>
      </w:r>
      <w:r w:rsidRPr="006D38AA">
        <w:rPr>
          <w:color w:val="1F4E79" w:themeColor="accent1" w:themeShade="80"/>
        </w:rPr>
        <w:t xml:space="preserve">training centres </w:t>
      </w:r>
      <w:r w:rsidR="00B43A19">
        <w:rPr>
          <w:color w:val="1F4E79" w:themeColor="accent1" w:themeShade="80"/>
        </w:rPr>
        <w:t xml:space="preserve">(public or private) </w:t>
      </w:r>
      <w:r w:rsidR="00333466" w:rsidRPr="00032EB8">
        <w:rPr>
          <w:color w:val="1F4E79" w:themeColor="accent1" w:themeShade="80"/>
        </w:rPr>
        <w:t xml:space="preserve">providing </w:t>
      </w:r>
      <w:r w:rsidR="00333466">
        <w:rPr>
          <w:color w:val="1F4E79" w:themeColor="accent1" w:themeShade="80"/>
        </w:rPr>
        <w:t>vocational education and training</w:t>
      </w:r>
      <w:r w:rsidR="00333466" w:rsidRPr="006D38AA">
        <w:rPr>
          <w:color w:val="1F4E79" w:themeColor="accent1" w:themeShade="80"/>
        </w:rPr>
        <w:t xml:space="preserve"> </w:t>
      </w:r>
      <w:r w:rsidR="00B43A19">
        <w:rPr>
          <w:color w:val="1F4E79" w:themeColor="accent1" w:themeShade="80"/>
        </w:rPr>
        <w:t xml:space="preserve">in </w:t>
      </w:r>
      <w:r w:rsidRPr="006D38AA">
        <w:rPr>
          <w:color w:val="1F4E79" w:themeColor="accent1" w:themeShade="80"/>
        </w:rPr>
        <w:t>ETF partner countries</w:t>
      </w:r>
      <w:r w:rsidR="003B7A32">
        <w:rPr>
          <w:color w:val="1F4E79" w:themeColor="accent1" w:themeShade="80"/>
        </w:rPr>
        <w:t>.</w:t>
      </w:r>
      <w:r w:rsidR="00F945BC" w:rsidRPr="00EE2B9C">
        <w:rPr>
          <w:vertAlign w:val="superscript"/>
        </w:rPr>
        <w:footnoteReference w:id="2"/>
      </w:r>
    </w:p>
    <w:p w14:paraId="1A5EC20C" w14:textId="77777777" w:rsidR="00EE2B9C" w:rsidRPr="00EE2B9C" w:rsidRDefault="00EE2B9C" w:rsidP="00EE2B9C">
      <w:pPr>
        <w:spacing w:after="0"/>
        <w:ind w:left="-284"/>
        <w:rPr>
          <w:b/>
        </w:rPr>
      </w:pPr>
    </w:p>
    <w:p w14:paraId="4F6B3C71" w14:textId="26BCAAD6" w:rsidR="003428B6" w:rsidRPr="00051339" w:rsidRDefault="003428B6" w:rsidP="00A24E3C">
      <w:pPr>
        <w:spacing w:before="120" w:after="120"/>
        <w:ind w:left="-284"/>
        <w:rPr>
          <w:b/>
          <w:color w:val="1F4E79" w:themeColor="accent1" w:themeShade="80"/>
          <w:sz w:val="28"/>
          <w:szCs w:val="28"/>
        </w:rPr>
      </w:pPr>
      <w:r w:rsidRPr="00051339">
        <w:rPr>
          <w:b/>
          <w:color w:val="1F4E79" w:themeColor="accent1" w:themeShade="80"/>
          <w:sz w:val="28"/>
          <w:szCs w:val="28"/>
        </w:rPr>
        <w:t>How to participate</w:t>
      </w:r>
    </w:p>
    <w:p w14:paraId="71BD37F3" w14:textId="77777777" w:rsidR="008929D7" w:rsidRDefault="00B43A19" w:rsidP="008929D7">
      <w:pPr>
        <w:spacing w:after="0"/>
        <w:ind w:left="-284"/>
        <w:rPr>
          <w:color w:val="1F4E79" w:themeColor="accent1" w:themeShade="80"/>
        </w:rPr>
      </w:pPr>
      <w:r>
        <w:rPr>
          <w:color w:val="1F4E79" w:themeColor="accent1" w:themeShade="80"/>
        </w:rPr>
        <w:t xml:space="preserve">Those wishing to submit a good practice should </w:t>
      </w:r>
    </w:p>
    <w:p w14:paraId="41FC3235" w14:textId="4FA0131D" w:rsidR="008929D7" w:rsidRDefault="008929D7" w:rsidP="008929D7">
      <w:pPr>
        <w:pStyle w:val="ListParagraph"/>
        <w:numPr>
          <w:ilvl w:val="0"/>
          <w:numId w:val="9"/>
        </w:numPr>
        <w:spacing w:after="0"/>
        <w:ind w:left="720"/>
        <w:rPr>
          <w:color w:val="1F4E79" w:themeColor="accent1" w:themeShade="80"/>
        </w:rPr>
      </w:pPr>
      <w:r w:rsidRPr="008929D7">
        <w:rPr>
          <w:color w:val="1F4E79" w:themeColor="accent1" w:themeShade="80"/>
        </w:rPr>
        <w:t xml:space="preserve">register for an </w:t>
      </w:r>
      <w:r w:rsidR="00940BDF" w:rsidRPr="008929D7">
        <w:rPr>
          <w:color w:val="1F4E79" w:themeColor="accent1" w:themeShade="80"/>
        </w:rPr>
        <w:t xml:space="preserve">ETF webinar </w:t>
      </w:r>
      <w:r w:rsidRPr="008929D7">
        <w:rPr>
          <w:color w:val="1F4E79" w:themeColor="accent1" w:themeShade="80"/>
        </w:rPr>
        <w:t xml:space="preserve">where more detail on the </w:t>
      </w:r>
      <w:r>
        <w:rPr>
          <w:color w:val="1F4E79" w:themeColor="accent1" w:themeShade="80"/>
        </w:rPr>
        <w:t>c</w:t>
      </w:r>
      <w:r w:rsidRPr="008929D7">
        <w:rPr>
          <w:color w:val="1F4E79" w:themeColor="accent1" w:themeShade="80"/>
        </w:rPr>
        <w:t xml:space="preserve">all will be shared as well as </w:t>
      </w:r>
      <w:r>
        <w:rPr>
          <w:color w:val="1F4E79" w:themeColor="accent1" w:themeShade="80"/>
        </w:rPr>
        <w:t xml:space="preserve">to </w:t>
      </w:r>
      <w:r w:rsidRPr="008929D7">
        <w:rPr>
          <w:color w:val="1F4E79" w:themeColor="accent1" w:themeShade="80"/>
        </w:rPr>
        <w:t>learn more about recent EntreComp developments</w:t>
      </w:r>
      <w:r w:rsidR="00861E2C">
        <w:rPr>
          <w:color w:val="1F4E79" w:themeColor="accent1" w:themeShade="80"/>
        </w:rPr>
        <w:t xml:space="preserve"> (registration </w:t>
      </w:r>
      <w:hyperlink r:id="rId17" w:history="1">
        <w:r w:rsidR="00861E2C" w:rsidRPr="00861E2C">
          <w:rPr>
            <w:rStyle w:val="Hyperlink"/>
          </w:rPr>
          <w:t>link</w:t>
        </w:r>
      </w:hyperlink>
      <w:r w:rsidR="00861E2C">
        <w:rPr>
          <w:color w:val="1F4E79" w:themeColor="accent1" w:themeShade="80"/>
        </w:rPr>
        <w:t>)</w:t>
      </w:r>
      <w:r w:rsidRPr="008929D7">
        <w:rPr>
          <w:color w:val="1F4E79" w:themeColor="accent1" w:themeShade="80"/>
        </w:rPr>
        <w:t>, and</w:t>
      </w:r>
    </w:p>
    <w:p w14:paraId="25CB2320" w14:textId="372A558B" w:rsidR="00C06259" w:rsidRPr="008929D7" w:rsidRDefault="008929D7" w:rsidP="008929D7">
      <w:pPr>
        <w:pStyle w:val="ListParagraph"/>
        <w:numPr>
          <w:ilvl w:val="0"/>
          <w:numId w:val="9"/>
        </w:numPr>
        <w:spacing w:after="0"/>
        <w:ind w:left="720"/>
        <w:rPr>
          <w:color w:val="1F4E79" w:themeColor="accent1" w:themeShade="80"/>
        </w:rPr>
      </w:pPr>
      <w:r w:rsidRPr="008929D7">
        <w:rPr>
          <w:color w:val="1F4E79" w:themeColor="accent1" w:themeShade="80"/>
        </w:rPr>
        <w:t xml:space="preserve">complete </w:t>
      </w:r>
      <w:r w:rsidR="00287808" w:rsidRPr="008929D7">
        <w:rPr>
          <w:color w:val="1F4E79" w:themeColor="accent1" w:themeShade="80"/>
        </w:rPr>
        <w:t xml:space="preserve">the application form </w:t>
      </w:r>
      <w:r w:rsidR="00861E2C">
        <w:rPr>
          <w:color w:val="1F4E79" w:themeColor="accent1" w:themeShade="80"/>
          <w:lang w:val="it-IT"/>
        </w:rPr>
        <w:t>(</w:t>
      </w:r>
      <w:r w:rsidR="00AB6728">
        <w:fldChar w:fldCharType="begin"/>
      </w:r>
      <w:r w:rsidR="00AB6728">
        <w:instrText xml:space="preserve"> HYPERLINK "https://connections.etf.europa.eu/communities/service/html/communitystart?communityUuid=84c45127-91d0-4807-8008-ec79aba60b99" </w:instrText>
      </w:r>
      <w:r w:rsidR="00AB6728">
        <w:fldChar w:fldCharType="separate"/>
      </w:r>
      <w:r w:rsidR="00861E2C" w:rsidRPr="00861E2C">
        <w:rPr>
          <w:rStyle w:val="Hyperlink"/>
          <w:lang w:val="it-IT"/>
        </w:rPr>
        <w:t>ETF Good Practice platform</w:t>
      </w:r>
      <w:r w:rsidR="00AB6728">
        <w:rPr>
          <w:rStyle w:val="Hyperlink"/>
          <w:lang w:val="it-IT"/>
        </w:rPr>
        <w:fldChar w:fldCharType="end"/>
      </w:r>
      <w:r w:rsidR="00861E2C">
        <w:rPr>
          <w:color w:val="1F4E79" w:themeColor="accent1" w:themeShade="80"/>
          <w:lang w:val="it-IT"/>
        </w:rPr>
        <w:t>)</w:t>
      </w:r>
    </w:p>
    <w:p w14:paraId="10D34D57" w14:textId="77777777" w:rsidR="008833A2" w:rsidRDefault="008833A2" w:rsidP="001C648E">
      <w:pPr>
        <w:spacing w:after="0"/>
        <w:ind w:left="-284"/>
        <w:rPr>
          <w:color w:val="1F4E79" w:themeColor="accent1" w:themeShade="80"/>
        </w:rPr>
      </w:pPr>
    </w:p>
    <w:p w14:paraId="5F130645" w14:textId="1A057B7C" w:rsidR="00563718" w:rsidRDefault="00411D4D" w:rsidP="001C648E">
      <w:pPr>
        <w:spacing w:after="0"/>
        <w:ind w:left="-284"/>
        <w:rPr>
          <w:color w:val="1F4E79" w:themeColor="accent1" w:themeShade="80"/>
        </w:rPr>
      </w:pPr>
      <w:r>
        <w:rPr>
          <w:color w:val="1F4E79" w:themeColor="accent1" w:themeShade="80"/>
        </w:rPr>
        <w:t>Application</w:t>
      </w:r>
      <w:r w:rsidR="00287808">
        <w:rPr>
          <w:color w:val="1F4E79" w:themeColor="accent1" w:themeShade="80"/>
        </w:rPr>
        <w:t>s</w:t>
      </w:r>
      <w:r w:rsidR="009F206D">
        <w:rPr>
          <w:color w:val="1F4E79" w:themeColor="accent1" w:themeShade="80"/>
        </w:rPr>
        <w:t xml:space="preserve"> </w:t>
      </w:r>
      <w:r>
        <w:rPr>
          <w:color w:val="1F4E79" w:themeColor="accent1" w:themeShade="80"/>
        </w:rPr>
        <w:t xml:space="preserve">should be submitted </w:t>
      </w:r>
      <w:r w:rsidR="001E34C0">
        <w:rPr>
          <w:color w:val="1F4E79" w:themeColor="accent1" w:themeShade="80"/>
        </w:rPr>
        <w:t xml:space="preserve">in English </w:t>
      </w:r>
      <w:r w:rsidR="00287808">
        <w:rPr>
          <w:color w:val="1F4E79" w:themeColor="accent1" w:themeShade="80"/>
        </w:rPr>
        <w:t>via</w:t>
      </w:r>
      <w:r>
        <w:rPr>
          <w:color w:val="1F4E79" w:themeColor="accent1" w:themeShade="80"/>
        </w:rPr>
        <w:t xml:space="preserve"> email</w:t>
      </w:r>
      <w:r w:rsidR="005F7C71" w:rsidRPr="006D38AA">
        <w:rPr>
          <w:color w:val="1F4E79" w:themeColor="accent1" w:themeShade="80"/>
        </w:rPr>
        <w:t xml:space="preserve"> </w:t>
      </w:r>
      <w:r w:rsidR="009F206D">
        <w:rPr>
          <w:color w:val="1F4E79" w:themeColor="accent1" w:themeShade="80"/>
        </w:rPr>
        <w:t xml:space="preserve">by </w:t>
      </w:r>
      <w:r w:rsidR="00B04D25">
        <w:rPr>
          <w:color w:val="1F4E79" w:themeColor="accent1" w:themeShade="80"/>
        </w:rPr>
        <w:t>the deadline (</w:t>
      </w:r>
      <w:r w:rsidR="0066563B">
        <w:rPr>
          <w:b/>
          <w:color w:val="1F4E79" w:themeColor="accent1" w:themeShade="80"/>
        </w:rPr>
        <w:t>22</w:t>
      </w:r>
      <w:r w:rsidR="0054538E" w:rsidRPr="0027067E">
        <w:rPr>
          <w:b/>
          <w:color w:val="1F4E79" w:themeColor="accent1" w:themeShade="80"/>
        </w:rPr>
        <w:t xml:space="preserve"> May</w:t>
      </w:r>
      <w:r w:rsidR="00563718" w:rsidRPr="0027067E">
        <w:rPr>
          <w:b/>
          <w:color w:val="1F4E79" w:themeColor="accent1" w:themeShade="80"/>
        </w:rPr>
        <w:t xml:space="preserve"> 2</w:t>
      </w:r>
      <w:r w:rsidR="00E4309F" w:rsidRPr="0027067E">
        <w:rPr>
          <w:b/>
          <w:color w:val="1F4E79" w:themeColor="accent1" w:themeShade="80"/>
        </w:rPr>
        <w:t>018</w:t>
      </w:r>
      <w:r w:rsidR="00B04D25">
        <w:rPr>
          <w:b/>
          <w:color w:val="1F4E79" w:themeColor="accent1" w:themeShade="80"/>
        </w:rPr>
        <w:t>)</w:t>
      </w:r>
      <w:r w:rsidR="00287808" w:rsidRPr="0027067E">
        <w:rPr>
          <w:b/>
          <w:color w:val="1F4E79" w:themeColor="accent1" w:themeShade="80"/>
        </w:rPr>
        <w:t xml:space="preserve"> </w:t>
      </w:r>
      <w:r w:rsidR="00287808" w:rsidRPr="0027067E">
        <w:rPr>
          <w:color w:val="1F4E79" w:themeColor="accent1" w:themeShade="80"/>
        </w:rPr>
        <w:t>to</w:t>
      </w:r>
      <w:r w:rsidR="009F206D" w:rsidRPr="0027067E">
        <w:rPr>
          <w:color w:val="1F4E79" w:themeColor="accent1" w:themeShade="80"/>
        </w:rPr>
        <w:t xml:space="preserve"> </w:t>
      </w:r>
      <w:hyperlink r:id="rId18" w:history="1">
        <w:r w:rsidR="009F206D" w:rsidRPr="00E6034D">
          <w:rPr>
            <w:color w:val="1F4E79" w:themeColor="accent1" w:themeShade="80"/>
          </w:rPr>
          <w:t>EntreComp@etf.europa.eu</w:t>
        </w:r>
      </w:hyperlink>
      <w:r w:rsidR="009F206D" w:rsidRPr="00E6034D">
        <w:rPr>
          <w:color w:val="1F4E79" w:themeColor="accent1" w:themeShade="80"/>
        </w:rPr>
        <w:t>.</w:t>
      </w:r>
    </w:p>
    <w:p w14:paraId="1358497A" w14:textId="77777777" w:rsidR="00D15CC8" w:rsidRPr="003E4C37" w:rsidRDefault="00D15CC8" w:rsidP="001C648E">
      <w:pPr>
        <w:spacing w:after="0"/>
        <w:ind w:left="-284"/>
        <w:rPr>
          <w:b/>
          <w:lang w:val="it-IT"/>
        </w:rPr>
      </w:pPr>
    </w:p>
    <w:p w14:paraId="10E5A744" w14:textId="77777777" w:rsidR="00201C86" w:rsidRPr="00051339" w:rsidRDefault="00201C86" w:rsidP="00A24E3C">
      <w:pPr>
        <w:spacing w:before="120" w:after="120"/>
        <w:ind w:left="-284"/>
        <w:rPr>
          <w:b/>
          <w:color w:val="1F4E79" w:themeColor="accent1" w:themeShade="80"/>
          <w:sz w:val="28"/>
          <w:szCs w:val="28"/>
        </w:rPr>
      </w:pPr>
      <w:r w:rsidRPr="00051339">
        <w:rPr>
          <w:b/>
          <w:color w:val="1F4E79" w:themeColor="accent1" w:themeShade="80"/>
          <w:sz w:val="28"/>
          <w:szCs w:val="28"/>
        </w:rPr>
        <w:t>Selection process</w:t>
      </w:r>
    </w:p>
    <w:p w14:paraId="66E2DC97" w14:textId="0A8016E8" w:rsidR="008929D7" w:rsidRDefault="00201C86" w:rsidP="001C648E">
      <w:pPr>
        <w:spacing w:after="0"/>
        <w:ind w:left="-284"/>
        <w:rPr>
          <w:color w:val="1F4E79" w:themeColor="accent1" w:themeShade="80"/>
        </w:rPr>
      </w:pPr>
      <w:r w:rsidRPr="006D38AA">
        <w:rPr>
          <w:color w:val="1F4E79" w:themeColor="accent1" w:themeShade="80"/>
        </w:rPr>
        <w:t>ETF</w:t>
      </w:r>
      <w:r w:rsidR="00051339">
        <w:rPr>
          <w:color w:val="1F4E79" w:themeColor="accent1" w:themeShade="80"/>
        </w:rPr>
        <w:t xml:space="preserve"> staff</w:t>
      </w:r>
      <w:r w:rsidRPr="006D38AA">
        <w:rPr>
          <w:color w:val="1F4E79" w:themeColor="accent1" w:themeShade="80"/>
        </w:rPr>
        <w:t xml:space="preserve"> </w:t>
      </w:r>
      <w:r w:rsidR="00B64222">
        <w:rPr>
          <w:color w:val="1F4E79" w:themeColor="accent1" w:themeShade="80"/>
        </w:rPr>
        <w:t xml:space="preserve">and </w:t>
      </w:r>
      <w:r w:rsidR="00051339">
        <w:rPr>
          <w:color w:val="1F4E79" w:themeColor="accent1" w:themeShade="80"/>
        </w:rPr>
        <w:t xml:space="preserve">an expert representing </w:t>
      </w:r>
      <w:r w:rsidR="006C6481">
        <w:rPr>
          <w:color w:val="1F4E79" w:themeColor="accent1" w:themeShade="80"/>
        </w:rPr>
        <w:t xml:space="preserve">2017 </w:t>
      </w:r>
      <w:r w:rsidR="00B43A19">
        <w:rPr>
          <w:color w:val="1F4E79" w:themeColor="accent1" w:themeShade="80"/>
        </w:rPr>
        <w:t xml:space="preserve">ETF Entrepreneurship Award </w:t>
      </w:r>
      <w:r w:rsidR="00051339">
        <w:rPr>
          <w:color w:val="1F4E79" w:themeColor="accent1" w:themeShade="80"/>
        </w:rPr>
        <w:t xml:space="preserve">winning training provider </w:t>
      </w:r>
      <w:r w:rsidRPr="006D38AA">
        <w:rPr>
          <w:color w:val="1F4E79" w:themeColor="accent1" w:themeShade="80"/>
        </w:rPr>
        <w:t xml:space="preserve">will review all submissions against two criteria </w:t>
      </w:r>
    </w:p>
    <w:p w14:paraId="6BE21E1B" w14:textId="7CF00344" w:rsidR="008929D7" w:rsidRDefault="00BD5C79" w:rsidP="008929D7">
      <w:pPr>
        <w:pStyle w:val="ListParagraph"/>
        <w:numPr>
          <w:ilvl w:val="0"/>
          <w:numId w:val="9"/>
        </w:numPr>
        <w:spacing w:after="0"/>
        <w:ind w:left="720"/>
        <w:rPr>
          <w:color w:val="1F4E79" w:themeColor="accent1" w:themeShade="80"/>
        </w:rPr>
      </w:pPr>
      <w:r w:rsidRPr="006D38AA">
        <w:rPr>
          <w:color w:val="1F4E79" w:themeColor="accent1" w:themeShade="80"/>
        </w:rPr>
        <w:t xml:space="preserve">learning outcomes for the </w:t>
      </w:r>
      <w:r w:rsidR="00282F63">
        <w:rPr>
          <w:color w:val="1F4E79" w:themeColor="accent1" w:themeShade="80"/>
        </w:rPr>
        <w:t xml:space="preserve">EntreComp competence areas </w:t>
      </w:r>
      <w:r w:rsidR="00201C86" w:rsidRPr="006D38AA">
        <w:rPr>
          <w:color w:val="1F4E79" w:themeColor="accent1" w:themeShade="80"/>
        </w:rPr>
        <w:t xml:space="preserve">and </w:t>
      </w:r>
    </w:p>
    <w:p w14:paraId="31B1BE90" w14:textId="5CA9E62C" w:rsidR="003B7A32" w:rsidRDefault="00282F63" w:rsidP="008929D7">
      <w:pPr>
        <w:pStyle w:val="ListParagraph"/>
        <w:numPr>
          <w:ilvl w:val="0"/>
          <w:numId w:val="9"/>
        </w:numPr>
        <w:spacing w:after="0"/>
        <w:ind w:left="720"/>
        <w:rPr>
          <w:color w:val="1F4E79" w:themeColor="accent1" w:themeShade="80"/>
        </w:rPr>
      </w:pPr>
      <w:r>
        <w:rPr>
          <w:color w:val="1F4E79" w:themeColor="accent1" w:themeShade="80"/>
        </w:rPr>
        <w:t xml:space="preserve">the </w:t>
      </w:r>
      <w:r w:rsidR="00BD5C79" w:rsidRPr="006D38AA">
        <w:rPr>
          <w:color w:val="1F4E79" w:themeColor="accent1" w:themeShade="80"/>
        </w:rPr>
        <w:t>teaching and learning</w:t>
      </w:r>
      <w:r>
        <w:rPr>
          <w:color w:val="1F4E79" w:themeColor="accent1" w:themeShade="80"/>
        </w:rPr>
        <w:t xml:space="preserve"> approaches used in the practice</w:t>
      </w:r>
      <w:r w:rsidR="00BD5C79" w:rsidRPr="006D38AA">
        <w:rPr>
          <w:color w:val="1F4E79" w:themeColor="accent1" w:themeShade="80"/>
        </w:rPr>
        <w:t>.</w:t>
      </w:r>
      <w:r w:rsidR="00201C86" w:rsidRPr="006D38AA">
        <w:rPr>
          <w:color w:val="1F4E79" w:themeColor="accent1" w:themeShade="80"/>
        </w:rPr>
        <w:t xml:space="preserve"> </w:t>
      </w:r>
    </w:p>
    <w:p w14:paraId="117ADC54" w14:textId="77777777" w:rsidR="003B7A32" w:rsidRDefault="003B7A32" w:rsidP="001C648E">
      <w:pPr>
        <w:spacing w:after="0"/>
        <w:ind w:left="-284"/>
        <w:rPr>
          <w:color w:val="1F4E79" w:themeColor="accent1" w:themeShade="80"/>
        </w:rPr>
      </w:pPr>
    </w:p>
    <w:p w14:paraId="554E87AF" w14:textId="414727B9" w:rsidR="00201C86" w:rsidRPr="006D38AA" w:rsidRDefault="00B43A19" w:rsidP="001C648E">
      <w:pPr>
        <w:spacing w:after="0"/>
        <w:ind w:left="-284"/>
        <w:rPr>
          <w:color w:val="1F4E79" w:themeColor="accent1" w:themeShade="80"/>
        </w:rPr>
      </w:pPr>
      <w:r>
        <w:rPr>
          <w:color w:val="1F4E79" w:themeColor="accent1" w:themeShade="80"/>
        </w:rPr>
        <w:t xml:space="preserve">The winner will </w:t>
      </w:r>
      <w:r w:rsidR="006C6481">
        <w:rPr>
          <w:color w:val="1F4E79" w:themeColor="accent1" w:themeShade="80"/>
        </w:rPr>
        <w:t xml:space="preserve">be </w:t>
      </w:r>
      <w:r w:rsidR="00201C86" w:rsidRPr="006D38AA">
        <w:rPr>
          <w:color w:val="1F4E79" w:themeColor="accent1" w:themeShade="80"/>
        </w:rPr>
        <w:t xml:space="preserve">announced on </w:t>
      </w:r>
      <w:r w:rsidR="00B32207" w:rsidRPr="003E4C37">
        <w:rPr>
          <w:b/>
          <w:color w:val="1F4E79" w:themeColor="accent1" w:themeShade="80"/>
        </w:rPr>
        <w:t xml:space="preserve">8 </w:t>
      </w:r>
      <w:r w:rsidR="009E7996" w:rsidRPr="003E4C37">
        <w:rPr>
          <w:b/>
          <w:color w:val="1F4E79" w:themeColor="accent1" w:themeShade="80"/>
        </w:rPr>
        <w:t>June</w:t>
      </w:r>
      <w:r w:rsidR="00B32207" w:rsidRPr="003E4C37">
        <w:rPr>
          <w:b/>
          <w:color w:val="1F4E79" w:themeColor="accent1" w:themeShade="80"/>
        </w:rPr>
        <w:t xml:space="preserve"> 2018</w:t>
      </w:r>
      <w:r>
        <w:rPr>
          <w:color w:val="1F4E79" w:themeColor="accent1" w:themeShade="80"/>
        </w:rPr>
        <w:t xml:space="preserve"> on </w:t>
      </w:r>
      <w:r w:rsidR="006C6481">
        <w:rPr>
          <w:color w:val="1F4E79" w:themeColor="accent1" w:themeShade="80"/>
        </w:rPr>
        <w:t xml:space="preserve">the </w:t>
      </w:r>
      <w:r>
        <w:rPr>
          <w:color w:val="1F4E79" w:themeColor="accent1" w:themeShade="80"/>
        </w:rPr>
        <w:t>ETF website</w:t>
      </w:r>
      <w:r w:rsidR="00201C86" w:rsidRPr="006D38AA">
        <w:rPr>
          <w:color w:val="1F4E79" w:themeColor="accent1" w:themeShade="80"/>
        </w:rPr>
        <w:t>.</w:t>
      </w:r>
    </w:p>
    <w:p w14:paraId="40B83651" w14:textId="77777777" w:rsidR="005F7C71" w:rsidRPr="006D38AA" w:rsidRDefault="005F7C71" w:rsidP="001C648E">
      <w:pPr>
        <w:spacing w:after="0"/>
        <w:ind w:left="-284"/>
        <w:rPr>
          <w:b/>
          <w:color w:val="1F4E79" w:themeColor="accent1" w:themeShade="80"/>
        </w:rPr>
      </w:pPr>
    </w:p>
    <w:p w14:paraId="760890EC" w14:textId="37BB05AD" w:rsidR="00201C86" w:rsidRPr="00051339" w:rsidRDefault="004D259A" w:rsidP="00A24E3C">
      <w:pPr>
        <w:spacing w:before="120" w:after="120"/>
        <w:ind w:left="-284"/>
        <w:rPr>
          <w:b/>
          <w:color w:val="1F4E79" w:themeColor="accent1" w:themeShade="80"/>
          <w:sz w:val="28"/>
          <w:szCs w:val="28"/>
        </w:rPr>
      </w:pPr>
      <w:r w:rsidRPr="00051339">
        <w:rPr>
          <w:b/>
          <w:color w:val="1F4E79" w:themeColor="accent1" w:themeShade="80"/>
          <w:sz w:val="28"/>
          <w:szCs w:val="28"/>
        </w:rPr>
        <w:t>Award</w:t>
      </w:r>
      <w:r w:rsidR="00726612" w:rsidRPr="00051339">
        <w:rPr>
          <w:b/>
          <w:color w:val="1F4E79" w:themeColor="accent1" w:themeShade="80"/>
          <w:sz w:val="28"/>
          <w:szCs w:val="28"/>
        </w:rPr>
        <w:t xml:space="preserve"> </w:t>
      </w:r>
      <w:r w:rsidR="00B04D25" w:rsidRPr="00051339">
        <w:rPr>
          <w:b/>
          <w:color w:val="1F4E79" w:themeColor="accent1" w:themeShade="80"/>
          <w:sz w:val="28"/>
          <w:szCs w:val="28"/>
        </w:rPr>
        <w:t>ceremony</w:t>
      </w:r>
      <w:r w:rsidR="00726612" w:rsidRPr="00051339">
        <w:rPr>
          <w:b/>
          <w:color w:val="1F4E79" w:themeColor="accent1" w:themeShade="80"/>
          <w:sz w:val="28"/>
          <w:szCs w:val="28"/>
        </w:rPr>
        <w:t xml:space="preserve"> </w:t>
      </w:r>
    </w:p>
    <w:p w14:paraId="768BE669" w14:textId="2979F992" w:rsidR="00051339" w:rsidRDefault="00B42E44" w:rsidP="00051339">
      <w:pPr>
        <w:spacing w:after="0"/>
        <w:ind w:left="-284"/>
        <w:rPr>
          <w:color w:val="1F4E79" w:themeColor="accent1" w:themeShade="80"/>
        </w:rPr>
      </w:pPr>
      <w:r w:rsidRPr="006D38AA">
        <w:rPr>
          <w:color w:val="1F4E79" w:themeColor="accent1" w:themeShade="80"/>
        </w:rPr>
        <w:t xml:space="preserve">A representative of the </w:t>
      </w:r>
      <w:r w:rsidR="003B7A32">
        <w:rPr>
          <w:color w:val="1F4E79" w:themeColor="accent1" w:themeShade="80"/>
        </w:rPr>
        <w:t xml:space="preserve">training organisation </w:t>
      </w:r>
      <w:r w:rsidR="00DE1D12">
        <w:rPr>
          <w:color w:val="1F4E79" w:themeColor="accent1" w:themeShade="80"/>
        </w:rPr>
        <w:t>selected for the ETF Entrepreneurship Award, a</w:t>
      </w:r>
      <w:r w:rsidR="006C08F8">
        <w:rPr>
          <w:color w:val="1F4E79" w:themeColor="accent1" w:themeShade="80"/>
        </w:rPr>
        <w:t>nd a</w:t>
      </w:r>
      <w:r w:rsidR="00B04D25">
        <w:rPr>
          <w:color w:val="1F4E79" w:themeColor="accent1" w:themeShade="80"/>
        </w:rPr>
        <w:t xml:space="preserve">n education and training </w:t>
      </w:r>
      <w:r w:rsidR="006C08F8">
        <w:rPr>
          <w:color w:val="1F4E79" w:themeColor="accent1" w:themeShade="80"/>
        </w:rPr>
        <w:t>policy maker</w:t>
      </w:r>
      <w:r w:rsidR="00B04D25">
        <w:rPr>
          <w:color w:val="1F4E79" w:themeColor="accent1" w:themeShade="80"/>
        </w:rPr>
        <w:t xml:space="preserve"> associated with the training provision</w:t>
      </w:r>
      <w:r w:rsidR="00DE1D12">
        <w:rPr>
          <w:color w:val="1F4E79" w:themeColor="accent1" w:themeShade="80"/>
        </w:rPr>
        <w:t>,</w:t>
      </w:r>
      <w:r w:rsidR="00B04D25">
        <w:rPr>
          <w:color w:val="1F4E79" w:themeColor="accent1" w:themeShade="80"/>
        </w:rPr>
        <w:t xml:space="preserve"> </w:t>
      </w:r>
      <w:r w:rsidRPr="006D38AA">
        <w:rPr>
          <w:color w:val="1F4E79" w:themeColor="accent1" w:themeShade="80"/>
        </w:rPr>
        <w:t xml:space="preserve">will be invited to </w:t>
      </w:r>
      <w:r w:rsidR="0056627C">
        <w:rPr>
          <w:color w:val="1F4E79" w:themeColor="accent1" w:themeShade="80"/>
        </w:rPr>
        <w:t>Vienna</w:t>
      </w:r>
      <w:r w:rsidR="00160B8C">
        <w:rPr>
          <w:color w:val="1F4E79" w:themeColor="accent1" w:themeShade="80"/>
        </w:rPr>
        <w:t>, Austria,</w:t>
      </w:r>
      <w:r w:rsidR="0056627C">
        <w:rPr>
          <w:color w:val="1F4E79" w:themeColor="accent1" w:themeShade="80"/>
        </w:rPr>
        <w:t xml:space="preserve"> to participate in </w:t>
      </w:r>
      <w:r w:rsidR="00DE1D12">
        <w:rPr>
          <w:color w:val="1F4E79" w:themeColor="accent1" w:themeShade="80"/>
        </w:rPr>
        <w:t xml:space="preserve">a conference to celebrate </w:t>
      </w:r>
      <w:r w:rsidR="0056627C">
        <w:rPr>
          <w:color w:val="1F4E79" w:themeColor="accent1" w:themeShade="80"/>
        </w:rPr>
        <w:t xml:space="preserve">the </w:t>
      </w:r>
      <w:hyperlink r:id="rId19" w:history="1">
        <w:r w:rsidR="00160B8C" w:rsidRPr="00E769CB">
          <w:rPr>
            <w:rStyle w:val="Hyperlink"/>
          </w:rPr>
          <w:t xml:space="preserve">2018 </w:t>
        </w:r>
        <w:r w:rsidR="0056627C" w:rsidRPr="00E769CB">
          <w:rPr>
            <w:rStyle w:val="Hyperlink"/>
          </w:rPr>
          <w:t>European Vocational Skills Week</w:t>
        </w:r>
      </w:hyperlink>
      <w:r w:rsidR="00051339">
        <w:rPr>
          <w:rStyle w:val="Hyperlink"/>
        </w:rPr>
        <w:t>.</w:t>
      </w:r>
      <w:r w:rsidR="0056627C">
        <w:rPr>
          <w:color w:val="1F4E79" w:themeColor="accent1" w:themeShade="80"/>
        </w:rPr>
        <w:t xml:space="preserve"> </w:t>
      </w:r>
    </w:p>
    <w:p w14:paraId="2B523589" w14:textId="77777777" w:rsidR="00051339" w:rsidRDefault="00051339" w:rsidP="00051339">
      <w:pPr>
        <w:spacing w:after="0"/>
        <w:ind w:left="-284"/>
        <w:rPr>
          <w:color w:val="1F4E79" w:themeColor="accent1" w:themeShade="80"/>
        </w:rPr>
      </w:pPr>
    </w:p>
    <w:p w14:paraId="0820EBF0" w14:textId="7FC001E9" w:rsidR="00051339" w:rsidRDefault="00051339" w:rsidP="00051339">
      <w:pPr>
        <w:spacing w:after="0"/>
        <w:ind w:left="-284"/>
        <w:rPr>
          <w:color w:val="1F4E79" w:themeColor="accent1" w:themeShade="80"/>
        </w:rPr>
      </w:pPr>
      <w:r>
        <w:rPr>
          <w:color w:val="1F4E79" w:themeColor="accent1" w:themeShade="80"/>
        </w:rPr>
        <w:t xml:space="preserve">The ETF Entrepreneurship Award will be conferred by </w:t>
      </w:r>
      <w:r w:rsidRPr="003F397E">
        <w:rPr>
          <w:color w:val="1F4E79" w:themeColor="accent1" w:themeShade="80"/>
        </w:rPr>
        <w:t xml:space="preserve">Marianne </w:t>
      </w:r>
      <w:proofErr w:type="spellStart"/>
      <w:r w:rsidRPr="003F397E">
        <w:rPr>
          <w:color w:val="1F4E79" w:themeColor="accent1" w:themeShade="80"/>
        </w:rPr>
        <w:t>Thyssen</w:t>
      </w:r>
      <w:proofErr w:type="spellEnd"/>
      <w:r w:rsidRPr="006D38AA">
        <w:rPr>
          <w:color w:val="1F4E79" w:themeColor="accent1" w:themeShade="80"/>
        </w:rPr>
        <w:t>, European Commissioner for Employment, Social Affairs and Inclusion</w:t>
      </w:r>
      <w:r>
        <w:rPr>
          <w:color w:val="1F4E79" w:themeColor="accent1" w:themeShade="80"/>
        </w:rPr>
        <w:t xml:space="preserve"> at the conference gala dinner on 8</w:t>
      </w:r>
      <w:r w:rsidRPr="00051339">
        <w:rPr>
          <w:color w:val="1F4E79" w:themeColor="accent1" w:themeShade="80"/>
          <w:vertAlign w:val="superscript"/>
        </w:rPr>
        <w:t>th</w:t>
      </w:r>
      <w:r>
        <w:rPr>
          <w:color w:val="1F4E79" w:themeColor="accent1" w:themeShade="80"/>
        </w:rPr>
        <w:t xml:space="preserve"> November. </w:t>
      </w:r>
    </w:p>
    <w:p w14:paraId="47681A26" w14:textId="77777777" w:rsidR="00DE1D12" w:rsidRDefault="00DE1D12" w:rsidP="00051339">
      <w:pPr>
        <w:spacing w:after="0"/>
        <w:ind w:left="-284"/>
        <w:rPr>
          <w:color w:val="1F4E79" w:themeColor="accent1" w:themeShade="80"/>
        </w:rPr>
      </w:pPr>
    </w:p>
    <w:p w14:paraId="7DE4AA70" w14:textId="606A9FC5" w:rsidR="00DE1D12" w:rsidRDefault="00DE1D12" w:rsidP="00DE1D12">
      <w:pPr>
        <w:spacing w:after="0"/>
        <w:ind w:left="-284"/>
        <w:rPr>
          <w:color w:val="1F4E79" w:themeColor="accent1" w:themeShade="80"/>
        </w:rPr>
      </w:pPr>
      <w:r>
        <w:rPr>
          <w:color w:val="1F4E79" w:themeColor="accent1" w:themeShade="80"/>
        </w:rPr>
        <w:t>An information note on the winning good practice will be published and disseminated at the conference.</w:t>
      </w:r>
    </w:p>
    <w:p w14:paraId="0BDC8670" w14:textId="1BB5D23A" w:rsidR="00051339" w:rsidRDefault="003F397E" w:rsidP="001C648E">
      <w:pPr>
        <w:spacing w:after="0"/>
        <w:ind w:left="-284"/>
        <w:rPr>
          <w:color w:val="1F4E79" w:themeColor="accent1" w:themeShade="80"/>
        </w:rPr>
      </w:pPr>
      <w:r>
        <w:rPr>
          <w:color w:val="1F4E79" w:themeColor="accent1" w:themeShade="80"/>
        </w:rPr>
        <w:t xml:space="preserve">In addition, ETF will promote the good practice </w:t>
      </w:r>
      <w:r w:rsidR="00DE1D12">
        <w:rPr>
          <w:color w:val="1F4E79" w:themeColor="accent1" w:themeShade="80"/>
        </w:rPr>
        <w:t>through i</w:t>
      </w:r>
      <w:r>
        <w:rPr>
          <w:color w:val="1F4E79" w:themeColor="accent1" w:themeShade="80"/>
        </w:rPr>
        <w:t>ts network</w:t>
      </w:r>
      <w:r w:rsidR="00DE1D12">
        <w:rPr>
          <w:color w:val="1F4E79" w:themeColor="accent1" w:themeShade="80"/>
        </w:rPr>
        <w:t>s</w:t>
      </w:r>
      <w:r>
        <w:rPr>
          <w:color w:val="1F4E79" w:themeColor="accent1" w:themeShade="80"/>
        </w:rPr>
        <w:t xml:space="preserve">, </w:t>
      </w:r>
      <w:r w:rsidR="00DE1D12">
        <w:rPr>
          <w:color w:val="1F4E79" w:themeColor="accent1" w:themeShade="80"/>
        </w:rPr>
        <w:t>good practice platform, social media and other publications.</w:t>
      </w:r>
      <w:r w:rsidR="00271220">
        <w:rPr>
          <w:color w:val="1F4E79" w:themeColor="accent1" w:themeShade="80"/>
        </w:rPr>
        <w:t xml:space="preserve"> </w:t>
      </w:r>
      <w:r w:rsidR="00CC21EE">
        <w:rPr>
          <w:color w:val="1F4E79" w:themeColor="accent1" w:themeShade="80"/>
        </w:rPr>
        <w:t>Please see privacy statement at Annex 2.</w:t>
      </w:r>
    </w:p>
    <w:p w14:paraId="1A258151" w14:textId="77777777" w:rsidR="00051339" w:rsidRDefault="00051339" w:rsidP="001C648E">
      <w:pPr>
        <w:spacing w:after="0"/>
        <w:ind w:left="-284"/>
        <w:rPr>
          <w:color w:val="1F4E79" w:themeColor="accent1" w:themeShade="80"/>
        </w:rPr>
      </w:pPr>
    </w:p>
    <w:p w14:paraId="13C50968" w14:textId="77777777" w:rsidR="004433C1" w:rsidRDefault="004433C1" w:rsidP="001C648E">
      <w:pPr>
        <w:spacing w:after="0"/>
        <w:ind w:left="-284"/>
        <w:rPr>
          <w:color w:val="1F4E79" w:themeColor="accent1"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11D4D" w14:paraId="4B9F544B" w14:textId="77777777" w:rsidTr="00411D4D">
        <w:tc>
          <w:tcPr>
            <w:tcW w:w="4508" w:type="dxa"/>
          </w:tcPr>
          <w:p w14:paraId="16FE945B" w14:textId="77777777" w:rsidR="00411D4D" w:rsidRDefault="00411D4D" w:rsidP="00411D4D">
            <w:pPr>
              <w:rPr>
                <w:b/>
                <w:color w:val="1F4E79" w:themeColor="accent1" w:themeShade="80"/>
                <w:sz w:val="32"/>
                <w:szCs w:val="32"/>
              </w:rPr>
            </w:pPr>
            <w:r>
              <w:rPr>
                <w:noProof/>
                <w:lang w:val="en-US"/>
              </w:rPr>
              <w:lastRenderedPageBreak/>
              <w:drawing>
                <wp:inline distT="0" distB="0" distL="0" distR="0" wp14:anchorId="29683E29" wp14:editId="1F2585EF">
                  <wp:extent cx="1979930" cy="860260"/>
                  <wp:effectExtent l="0" t="0" r="1270" b="0"/>
                  <wp:docPr id="6" name="Picture 6" descr="ETF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 MASTER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1276" cy="865190"/>
                          </a:xfrm>
                          <a:prstGeom prst="rect">
                            <a:avLst/>
                          </a:prstGeom>
                          <a:noFill/>
                          <a:ln>
                            <a:noFill/>
                          </a:ln>
                        </pic:spPr>
                      </pic:pic>
                    </a:graphicData>
                  </a:graphic>
                </wp:inline>
              </w:drawing>
            </w:r>
          </w:p>
        </w:tc>
        <w:tc>
          <w:tcPr>
            <w:tcW w:w="4508" w:type="dxa"/>
          </w:tcPr>
          <w:p w14:paraId="3F8E27F2" w14:textId="77777777" w:rsidR="00411D4D" w:rsidRDefault="00411D4D" w:rsidP="00411D4D">
            <w:pPr>
              <w:jc w:val="right"/>
              <w:rPr>
                <w:b/>
                <w:color w:val="1F4E79" w:themeColor="accent1" w:themeShade="80"/>
                <w:sz w:val="32"/>
                <w:szCs w:val="32"/>
              </w:rPr>
            </w:pPr>
            <w:r w:rsidRPr="0032255F">
              <w:rPr>
                <w:noProof/>
                <w:lang w:val="en-US"/>
              </w:rPr>
              <w:drawing>
                <wp:inline distT="0" distB="0" distL="0" distR="0" wp14:anchorId="7D8FEFE5" wp14:editId="15F32EBD">
                  <wp:extent cx="990952" cy="119951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547" cy="1220814"/>
                          </a:xfrm>
                          <a:prstGeom prst="rect">
                            <a:avLst/>
                          </a:prstGeom>
                          <a:noFill/>
                          <a:ln>
                            <a:noFill/>
                          </a:ln>
                        </pic:spPr>
                      </pic:pic>
                    </a:graphicData>
                  </a:graphic>
                </wp:inline>
              </w:drawing>
            </w:r>
          </w:p>
        </w:tc>
      </w:tr>
    </w:tbl>
    <w:p w14:paraId="3A7191DF" w14:textId="77777777" w:rsidR="009F206D" w:rsidRDefault="009F206D" w:rsidP="00411D4D">
      <w:pPr>
        <w:jc w:val="center"/>
        <w:rPr>
          <w:b/>
          <w:color w:val="1F4E79" w:themeColor="accent1" w:themeShade="80"/>
        </w:rPr>
      </w:pPr>
    </w:p>
    <w:p w14:paraId="4934AF4A" w14:textId="77777777" w:rsidR="00C20613" w:rsidRPr="004D3604" w:rsidRDefault="00C20613" w:rsidP="00411D4D">
      <w:pPr>
        <w:jc w:val="center"/>
        <w:rPr>
          <w:b/>
          <w:color w:val="1F4E79" w:themeColor="accent1" w:themeShade="80"/>
        </w:rPr>
      </w:pPr>
    </w:p>
    <w:p w14:paraId="31F5DC93" w14:textId="77777777" w:rsidR="00411D4D" w:rsidRPr="00B46D72" w:rsidRDefault="00411D4D" w:rsidP="00411D4D">
      <w:pPr>
        <w:jc w:val="center"/>
        <w:rPr>
          <w:b/>
          <w:color w:val="1F4E79" w:themeColor="accent1" w:themeShade="80"/>
          <w:sz w:val="52"/>
          <w:szCs w:val="52"/>
        </w:rPr>
      </w:pPr>
      <w:r w:rsidRPr="00B46D72">
        <w:rPr>
          <w:b/>
          <w:color w:val="1F4E79" w:themeColor="accent1" w:themeShade="80"/>
          <w:sz w:val="52"/>
          <w:szCs w:val="52"/>
        </w:rPr>
        <w:t xml:space="preserve">APPLICATION FORM </w:t>
      </w:r>
    </w:p>
    <w:p w14:paraId="401BAE99" w14:textId="77777777" w:rsidR="00411D4D" w:rsidRDefault="00411D4D" w:rsidP="00411D4D">
      <w:pPr>
        <w:rPr>
          <w:b/>
          <w:color w:val="1F4E79" w:themeColor="accent1" w:themeShade="80"/>
          <w:sz w:val="20"/>
          <w:szCs w:val="20"/>
        </w:rPr>
      </w:pPr>
    </w:p>
    <w:p w14:paraId="21E69F68" w14:textId="77777777" w:rsidR="007D5041" w:rsidRPr="00A506F1" w:rsidRDefault="007D5041" w:rsidP="00411D4D">
      <w:pPr>
        <w:rPr>
          <w:b/>
          <w:color w:val="1F4E79" w:themeColor="accent1" w:themeShade="80"/>
          <w:sz w:val="20"/>
          <w:szCs w:val="20"/>
        </w:rPr>
      </w:pPr>
    </w:p>
    <w:p w14:paraId="0105EA18" w14:textId="65CA47AD" w:rsidR="00411D4D" w:rsidRPr="00DE1D12" w:rsidRDefault="00DF6DBA" w:rsidP="007D5041">
      <w:pPr>
        <w:jc w:val="center"/>
        <w:rPr>
          <w:b/>
          <w:color w:val="1F4E79" w:themeColor="accent1" w:themeShade="80"/>
          <w:sz w:val="40"/>
          <w:szCs w:val="40"/>
        </w:rPr>
      </w:pPr>
      <w:r w:rsidRPr="00DE1D12">
        <w:rPr>
          <w:b/>
          <w:color w:val="1F4E79" w:themeColor="accent1" w:themeShade="80"/>
          <w:sz w:val="40"/>
          <w:szCs w:val="40"/>
        </w:rPr>
        <w:t>ETF</w:t>
      </w:r>
      <w:r w:rsidR="00411D4D" w:rsidRPr="00DE1D12">
        <w:rPr>
          <w:b/>
          <w:color w:val="1F4E79" w:themeColor="accent1" w:themeShade="80"/>
          <w:sz w:val="40"/>
          <w:szCs w:val="40"/>
        </w:rPr>
        <w:t xml:space="preserve"> </w:t>
      </w:r>
      <w:r w:rsidRPr="00DE1D12">
        <w:rPr>
          <w:b/>
          <w:color w:val="1F4E79" w:themeColor="accent1" w:themeShade="80"/>
          <w:sz w:val="40"/>
          <w:szCs w:val="40"/>
        </w:rPr>
        <w:t>Entrepreneurship Award</w:t>
      </w:r>
    </w:p>
    <w:p w14:paraId="54E58079" w14:textId="77777777" w:rsidR="008078DF" w:rsidRDefault="008078DF" w:rsidP="00411D4D">
      <w:pPr>
        <w:jc w:val="both"/>
        <w:rPr>
          <w:color w:val="1F4E79" w:themeColor="accent1" w:themeShade="80"/>
        </w:rPr>
      </w:pPr>
    </w:p>
    <w:p w14:paraId="6809EFE1" w14:textId="52C6B5FE" w:rsidR="00E0006C" w:rsidRPr="00DE1D12" w:rsidRDefault="000F518F" w:rsidP="00411D4D">
      <w:pPr>
        <w:jc w:val="both"/>
        <w:rPr>
          <w:color w:val="1F4E79" w:themeColor="accent1" w:themeShade="80"/>
          <w:sz w:val="28"/>
          <w:szCs w:val="28"/>
        </w:rPr>
      </w:pPr>
      <w:r w:rsidRPr="00DE1D12">
        <w:rPr>
          <w:color w:val="1F4E79" w:themeColor="accent1" w:themeShade="80"/>
          <w:sz w:val="28"/>
          <w:szCs w:val="28"/>
        </w:rPr>
        <w:t>Are y</w:t>
      </w:r>
      <w:r w:rsidR="00E34BD0" w:rsidRPr="00DE1D12">
        <w:rPr>
          <w:color w:val="1F4E79" w:themeColor="accent1" w:themeShade="80"/>
          <w:sz w:val="28"/>
          <w:szCs w:val="28"/>
        </w:rPr>
        <w:t>ou a vocational school</w:t>
      </w:r>
      <w:r w:rsidR="003B7A32" w:rsidRPr="00DE1D12">
        <w:rPr>
          <w:color w:val="1F4E79" w:themeColor="accent1" w:themeShade="80"/>
          <w:sz w:val="28"/>
          <w:szCs w:val="28"/>
        </w:rPr>
        <w:t>, university</w:t>
      </w:r>
      <w:r w:rsidR="00E34BD0" w:rsidRPr="00DE1D12">
        <w:rPr>
          <w:color w:val="1F4E79" w:themeColor="accent1" w:themeShade="80"/>
          <w:sz w:val="28"/>
          <w:szCs w:val="28"/>
        </w:rPr>
        <w:t xml:space="preserve"> or training centre from an ETF partner country, providing </w:t>
      </w:r>
      <w:r w:rsidRPr="00DE1D12">
        <w:rPr>
          <w:color w:val="1F4E79" w:themeColor="accent1" w:themeShade="80"/>
          <w:sz w:val="28"/>
          <w:szCs w:val="28"/>
        </w:rPr>
        <w:t>vocational education and training</w:t>
      </w:r>
      <w:r w:rsidR="00E34BD0" w:rsidRPr="00DE1D12">
        <w:rPr>
          <w:color w:val="1F4E79" w:themeColor="accent1" w:themeShade="80"/>
          <w:sz w:val="28"/>
          <w:szCs w:val="28"/>
        </w:rPr>
        <w:t xml:space="preserve">? </w:t>
      </w:r>
    </w:p>
    <w:p w14:paraId="43DE6BFA" w14:textId="77777777" w:rsidR="0088798C" w:rsidRPr="00DE1D12" w:rsidRDefault="0088798C" w:rsidP="00411D4D">
      <w:pPr>
        <w:jc w:val="both"/>
        <w:rPr>
          <w:color w:val="1F4E79" w:themeColor="accent1" w:themeShade="80"/>
          <w:sz w:val="28"/>
          <w:szCs w:val="28"/>
        </w:rPr>
      </w:pPr>
    </w:p>
    <w:p w14:paraId="26B092D0" w14:textId="707F548E" w:rsidR="00BA3E42" w:rsidRPr="00DE1D12" w:rsidRDefault="00BA3E42" w:rsidP="00BA3E42">
      <w:pPr>
        <w:jc w:val="both"/>
        <w:rPr>
          <w:color w:val="1F4E79" w:themeColor="accent1" w:themeShade="80"/>
          <w:sz w:val="28"/>
          <w:szCs w:val="28"/>
        </w:rPr>
      </w:pPr>
      <w:r w:rsidRPr="00DE1D12">
        <w:rPr>
          <w:color w:val="1F4E79" w:themeColor="accent1" w:themeShade="80"/>
          <w:sz w:val="28"/>
          <w:szCs w:val="28"/>
        </w:rPr>
        <w:t>Do you promote at least one of the competences in the EntreComp area “</w:t>
      </w:r>
      <w:r w:rsidR="00726069" w:rsidRPr="00DE1D12">
        <w:rPr>
          <w:color w:val="1F4E79" w:themeColor="accent1" w:themeShade="80"/>
          <w:sz w:val="28"/>
          <w:szCs w:val="28"/>
        </w:rPr>
        <w:t>I</w:t>
      </w:r>
      <w:r w:rsidRPr="00DE1D12">
        <w:rPr>
          <w:color w:val="1F4E79" w:themeColor="accent1" w:themeShade="80"/>
          <w:sz w:val="28"/>
          <w:szCs w:val="28"/>
        </w:rPr>
        <w:t xml:space="preserve">deas &amp; </w:t>
      </w:r>
      <w:r w:rsidR="00726069" w:rsidRPr="00DE1D12">
        <w:rPr>
          <w:color w:val="1F4E79" w:themeColor="accent1" w:themeShade="80"/>
          <w:sz w:val="28"/>
          <w:szCs w:val="28"/>
        </w:rPr>
        <w:t>O</w:t>
      </w:r>
      <w:r w:rsidRPr="00DE1D12">
        <w:rPr>
          <w:color w:val="1F4E79" w:themeColor="accent1" w:themeShade="80"/>
          <w:sz w:val="28"/>
          <w:szCs w:val="28"/>
        </w:rPr>
        <w:t>pportunities”?</w:t>
      </w:r>
    </w:p>
    <w:p w14:paraId="5EFD0EE0" w14:textId="77777777" w:rsidR="00BA3E42" w:rsidRPr="00DE1D12" w:rsidRDefault="00BA3E42" w:rsidP="00BA3E42">
      <w:pPr>
        <w:jc w:val="both"/>
        <w:rPr>
          <w:color w:val="1F4E79" w:themeColor="accent1" w:themeShade="80"/>
          <w:sz w:val="28"/>
          <w:szCs w:val="28"/>
        </w:rPr>
      </w:pPr>
    </w:p>
    <w:p w14:paraId="506F2B99" w14:textId="5139290F" w:rsidR="009C7AEB" w:rsidRPr="00DE1D12" w:rsidRDefault="00BA3E42" w:rsidP="00411D4D">
      <w:pPr>
        <w:jc w:val="both"/>
        <w:rPr>
          <w:color w:val="1F4E79" w:themeColor="accent1" w:themeShade="80"/>
          <w:sz w:val="28"/>
          <w:szCs w:val="28"/>
        </w:rPr>
      </w:pPr>
      <w:r w:rsidRPr="00DE1D12">
        <w:rPr>
          <w:color w:val="1F4E79" w:themeColor="accent1" w:themeShade="80"/>
          <w:sz w:val="28"/>
          <w:szCs w:val="28"/>
        </w:rPr>
        <w:t xml:space="preserve">Do you promote at least one of the competences </w:t>
      </w:r>
      <w:r w:rsidR="00726069" w:rsidRPr="00DE1D12">
        <w:rPr>
          <w:color w:val="1F4E79" w:themeColor="accent1" w:themeShade="80"/>
          <w:sz w:val="28"/>
          <w:szCs w:val="28"/>
        </w:rPr>
        <w:t xml:space="preserve">in any of the two other </w:t>
      </w:r>
      <w:r w:rsidR="00DE1D12">
        <w:rPr>
          <w:color w:val="1F4E79" w:themeColor="accent1" w:themeShade="80"/>
          <w:sz w:val="28"/>
          <w:szCs w:val="28"/>
        </w:rPr>
        <w:t xml:space="preserve">EntreComp </w:t>
      </w:r>
      <w:r w:rsidR="00726069" w:rsidRPr="00DE1D12">
        <w:rPr>
          <w:color w:val="1F4E79" w:themeColor="accent1" w:themeShade="80"/>
          <w:sz w:val="28"/>
          <w:szCs w:val="28"/>
        </w:rPr>
        <w:t>areas</w:t>
      </w:r>
      <w:r w:rsidR="00DE1D12">
        <w:rPr>
          <w:color w:val="1F4E79" w:themeColor="accent1" w:themeShade="80"/>
          <w:sz w:val="28"/>
          <w:szCs w:val="28"/>
        </w:rPr>
        <w:t>,</w:t>
      </w:r>
      <w:r w:rsidR="00726069" w:rsidRPr="00DE1D12">
        <w:rPr>
          <w:color w:val="1F4E79" w:themeColor="accent1" w:themeShade="80"/>
          <w:sz w:val="28"/>
          <w:szCs w:val="28"/>
        </w:rPr>
        <w:t xml:space="preserve"> “R</w:t>
      </w:r>
      <w:r w:rsidRPr="00DE1D12">
        <w:rPr>
          <w:color w:val="1F4E79" w:themeColor="accent1" w:themeShade="80"/>
          <w:sz w:val="28"/>
          <w:szCs w:val="28"/>
        </w:rPr>
        <w:t>esources” and “</w:t>
      </w:r>
      <w:r w:rsidR="00726069" w:rsidRPr="00DE1D12">
        <w:rPr>
          <w:color w:val="1F4E79" w:themeColor="accent1" w:themeShade="80"/>
          <w:sz w:val="28"/>
          <w:szCs w:val="28"/>
        </w:rPr>
        <w:t>I</w:t>
      </w:r>
      <w:r w:rsidRPr="00DE1D12">
        <w:rPr>
          <w:color w:val="1F4E79" w:themeColor="accent1" w:themeShade="80"/>
          <w:sz w:val="28"/>
          <w:szCs w:val="28"/>
        </w:rPr>
        <w:t>nto Action”?</w:t>
      </w:r>
    </w:p>
    <w:p w14:paraId="4672C923" w14:textId="77777777" w:rsidR="0088798C" w:rsidRPr="00DE1D12" w:rsidRDefault="0088798C" w:rsidP="00411D4D">
      <w:pPr>
        <w:jc w:val="both"/>
        <w:rPr>
          <w:color w:val="1F4E79" w:themeColor="accent1" w:themeShade="80"/>
          <w:sz w:val="28"/>
          <w:szCs w:val="28"/>
        </w:rPr>
      </w:pPr>
    </w:p>
    <w:p w14:paraId="1AF6BC90" w14:textId="1C0D95E0" w:rsidR="00411D4D" w:rsidRPr="00DE1D12" w:rsidRDefault="00DE1D12" w:rsidP="00DE1D12">
      <w:pPr>
        <w:jc w:val="both"/>
        <w:rPr>
          <w:b/>
          <w:color w:val="1F4E79" w:themeColor="accent1" w:themeShade="80"/>
          <w:sz w:val="28"/>
          <w:szCs w:val="28"/>
        </w:rPr>
      </w:pPr>
      <w:r w:rsidRPr="00DE1D12">
        <w:rPr>
          <w:color w:val="1F4E79" w:themeColor="accent1" w:themeShade="80"/>
          <w:sz w:val="28"/>
          <w:szCs w:val="28"/>
        </w:rPr>
        <w:t>If so, p</w:t>
      </w:r>
      <w:r w:rsidR="00494AD3" w:rsidRPr="00DE1D12">
        <w:rPr>
          <w:color w:val="1F4E79" w:themeColor="accent1" w:themeShade="80"/>
          <w:sz w:val="28"/>
          <w:szCs w:val="28"/>
        </w:rPr>
        <w:t>lease</w:t>
      </w:r>
      <w:r w:rsidR="00411D4D" w:rsidRPr="00DE1D12">
        <w:rPr>
          <w:color w:val="1F4E79" w:themeColor="accent1" w:themeShade="80"/>
          <w:sz w:val="28"/>
          <w:szCs w:val="28"/>
        </w:rPr>
        <w:t xml:space="preserve"> submit </w:t>
      </w:r>
      <w:r w:rsidR="007E705B" w:rsidRPr="00DE1D12">
        <w:rPr>
          <w:color w:val="1F4E79" w:themeColor="accent1" w:themeShade="80"/>
          <w:sz w:val="28"/>
          <w:szCs w:val="28"/>
        </w:rPr>
        <w:t>your application via</w:t>
      </w:r>
      <w:r w:rsidR="00411D4D" w:rsidRPr="00DE1D12">
        <w:rPr>
          <w:color w:val="1F4E79" w:themeColor="accent1" w:themeShade="80"/>
          <w:sz w:val="28"/>
          <w:szCs w:val="28"/>
        </w:rPr>
        <w:t xml:space="preserve"> email to</w:t>
      </w:r>
      <w:r w:rsidR="007E705B" w:rsidRPr="00DE1D12">
        <w:rPr>
          <w:color w:val="1F4E79" w:themeColor="accent1" w:themeShade="80"/>
          <w:sz w:val="28"/>
          <w:szCs w:val="28"/>
        </w:rPr>
        <w:t xml:space="preserve"> </w:t>
      </w:r>
      <w:hyperlink r:id="rId21" w:history="1">
        <w:r w:rsidR="00411D4D" w:rsidRPr="00DE1D12">
          <w:rPr>
            <w:color w:val="1F4E79" w:themeColor="accent1" w:themeShade="80"/>
            <w:sz w:val="28"/>
            <w:szCs w:val="28"/>
          </w:rPr>
          <w:t>EntreComp@etf.europa.eu</w:t>
        </w:r>
      </w:hyperlink>
      <w:r w:rsidRPr="00DE1D12">
        <w:rPr>
          <w:color w:val="1F4E79" w:themeColor="accent1" w:themeShade="80"/>
          <w:sz w:val="28"/>
          <w:szCs w:val="28"/>
        </w:rPr>
        <w:t xml:space="preserve"> by </w:t>
      </w:r>
      <w:r w:rsidR="0088798C" w:rsidRPr="00DE1D12">
        <w:rPr>
          <w:b/>
          <w:color w:val="1F4E79" w:themeColor="accent1" w:themeShade="80"/>
          <w:sz w:val="28"/>
          <w:szCs w:val="28"/>
        </w:rPr>
        <w:t>22 May 2018</w:t>
      </w:r>
      <w:r>
        <w:rPr>
          <w:b/>
          <w:color w:val="1F4E79" w:themeColor="accent1" w:themeShade="80"/>
          <w:sz w:val="28"/>
          <w:szCs w:val="28"/>
        </w:rPr>
        <w:t>.</w:t>
      </w:r>
    </w:p>
    <w:p w14:paraId="2F29CA8D" w14:textId="77777777" w:rsidR="00760D8C" w:rsidRDefault="00760D8C">
      <w:pPr>
        <w:rPr>
          <w:b/>
          <w:color w:val="1F4E79" w:themeColor="accent1" w:themeShade="80"/>
          <w:sz w:val="32"/>
          <w:szCs w:val="32"/>
        </w:rPr>
      </w:pPr>
      <w:r>
        <w:rPr>
          <w:b/>
          <w:color w:val="1F4E79" w:themeColor="accent1" w:themeShade="80"/>
          <w:sz w:val="32"/>
          <w:szCs w:val="32"/>
        </w:rPr>
        <w:br w:type="page"/>
      </w:r>
    </w:p>
    <w:p w14:paraId="0ECAC805" w14:textId="3239B71E" w:rsidR="00302A1E" w:rsidRPr="004433C1" w:rsidRDefault="004C7AFC" w:rsidP="005F78EF">
      <w:pPr>
        <w:rPr>
          <w:color w:val="1F4E79" w:themeColor="accent1" w:themeShade="80"/>
        </w:rPr>
      </w:pPr>
      <w:r>
        <w:rPr>
          <w:b/>
          <w:color w:val="1F4E79" w:themeColor="accent1" w:themeShade="80"/>
          <w:sz w:val="32"/>
          <w:szCs w:val="32"/>
        </w:rPr>
        <w:lastRenderedPageBreak/>
        <w:t>ETF</w:t>
      </w:r>
      <w:r w:rsidR="00302A1E" w:rsidRPr="005F7C71">
        <w:rPr>
          <w:b/>
          <w:color w:val="1F4E79" w:themeColor="accent1" w:themeShade="80"/>
          <w:sz w:val="32"/>
          <w:szCs w:val="32"/>
        </w:rPr>
        <w:t xml:space="preserve"> </w:t>
      </w:r>
      <w:r w:rsidRPr="005F7C71">
        <w:rPr>
          <w:b/>
          <w:color w:val="1F4E79" w:themeColor="accent1" w:themeShade="80"/>
          <w:sz w:val="32"/>
          <w:szCs w:val="32"/>
        </w:rPr>
        <w:t xml:space="preserve">Entrepreneurship </w:t>
      </w:r>
      <w:r>
        <w:rPr>
          <w:b/>
          <w:color w:val="1F4E79" w:themeColor="accent1" w:themeShade="80"/>
          <w:sz w:val="32"/>
          <w:szCs w:val="32"/>
        </w:rPr>
        <w:t>Award</w:t>
      </w:r>
    </w:p>
    <w:p w14:paraId="146823FD" w14:textId="50838948" w:rsidR="00302A1E" w:rsidRPr="005F7C71" w:rsidRDefault="00626C64" w:rsidP="005F78EF">
      <w:pPr>
        <w:rPr>
          <w:color w:val="1F4E79" w:themeColor="accent1" w:themeShade="80"/>
        </w:rPr>
      </w:pPr>
      <w:r>
        <w:rPr>
          <w:color w:val="1F4E79" w:themeColor="accent1" w:themeShade="80"/>
        </w:rPr>
        <w:t>Ple</w:t>
      </w:r>
      <w:r w:rsidR="00E663AC">
        <w:rPr>
          <w:color w:val="1F4E79" w:themeColor="accent1" w:themeShade="80"/>
        </w:rPr>
        <w:t>ase provide the required information</w:t>
      </w:r>
      <w:r>
        <w:rPr>
          <w:color w:val="1F4E79" w:themeColor="accent1" w:themeShade="80"/>
        </w:rPr>
        <w:t xml:space="preserve"> below</w:t>
      </w:r>
      <w:r w:rsidR="005F7C71" w:rsidRPr="005F7C71">
        <w:rPr>
          <w:color w:val="1F4E79" w:themeColor="accent1" w:themeShade="80"/>
        </w:rPr>
        <w:t xml:space="preserve">. </w:t>
      </w:r>
    </w:p>
    <w:p w14:paraId="7A394EEA" w14:textId="77777777" w:rsidR="005F7C71" w:rsidRDefault="005F7C71" w:rsidP="005F78EF">
      <w:pPr>
        <w:rPr>
          <w:b/>
          <w:color w:val="1F4E79" w:themeColor="accent1" w:themeShade="80"/>
        </w:rPr>
      </w:pPr>
    </w:p>
    <w:p w14:paraId="671200E9" w14:textId="30C6C006" w:rsidR="00021F8A" w:rsidRDefault="005F7C71" w:rsidP="00BD409C">
      <w:pPr>
        <w:spacing w:after="0"/>
        <w:rPr>
          <w:b/>
          <w:color w:val="1F4E79" w:themeColor="accent1" w:themeShade="80"/>
          <w:sz w:val="26"/>
          <w:szCs w:val="26"/>
        </w:rPr>
      </w:pPr>
      <w:r w:rsidRPr="00BD409C">
        <w:rPr>
          <w:b/>
          <w:color w:val="1F4E79" w:themeColor="accent1" w:themeShade="80"/>
          <w:sz w:val="26"/>
          <w:szCs w:val="26"/>
        </w:rPr>
        <w:t>1.</w:t>
      </w:r>
      <w:r w:rsidRPr="00BD409C">
        <w:rPr>
          <w:b/>
          <w:color w:val="1F4E79" w:themeColor="accent1" w:themeShade="80"/>
          <w:sz w:val="26"/>
          <w:szCs w:val="26"/>
        </w:rPr>
        <w:tab/>
      </w:r>
      <w:r w:rsidR="00C56069" w:rsidRPr="00BD409C">
        <w:rPr>
          <w:b/>
          <w:color w:val="1F4E79" w:themeColor="accent1" w:themeShade="80"/>
          <w:sz w:val="26"/>
          <w:szCs w:val="26"/>
        </w:rPr>
        <w:t xml:space="preserve">Details of </w:t>
      </w:r>
      <w:r w:rsidR="003B7A32">
        <w:rPr>
          <w:b/>
          <w:color w:val="1F4E79" w:themeColor="accent1" w:themeShade="80"/>
          <w:sz w:val="26"/>
          <w:szCs w:val="26"/>
        </w:rPr>
        <w:t xml:space="preserve">participant and </w:t>
      </w:r>
      <w:r w:rsidR="001E3135">
        <w:rPr>
          <w:b/>
          <w:color w:val="1F4E79" w:themeColor="accent1" w:themeShade="80"/>
          <w:sz w:val="26"/>
          <w:szCs w:val="26"/>
        </w:rPr>
        <w:t>policy partner</w:t>
      </w:r>
    </w:p>
    <w:tbl>
      <w:tblPr>
        <w:tblStyle w:val="TableGrid"/>
        <w:tblW w:w="0" w:type="auto"/>
        <w:tblLayout w:type="fixed"/>
        <w:tblLook w:val="04A0" w:firstRow="1" w:lastRow="0" w:firstColumn="1" w:lastColumn="0" w:noHBand="0" w:noVBand="1"/>
      </w:tblPr>
      <w:tblGrid>
        <w:gridCol w:w="1696"/>
        <w:gridCol w:w="7484"/>
      </w:tblGrid>
      <w:tr w:rsidR="00727FEB" w14:paraId="2156AE0F" w14:textId="77777777" w:rsidTr="00D62452">
        <w:tc>
          <w:tcPr>
            <w:tcW w:w="1696" w:type="dxa"/>
          </w:tcPr>
          <w:p w14:paraId="777C5643" w14:textId="11C9A5A7" w:rsidR="00727FEB" w:rsidRDefault="007210ED" w:rsidP="007210ED">
            <w:pPr>
              <w:rPr>
                <w:color w:val="1F4E79" w:themeColor="accent1" w:themeShade="80"/>
              </w:rPr>
            </w:pPr>
            <w:r>
              <w:rPr>
                <w:color w:val="1F4E79" w:themeColor="accent1" w:themeShade="80"/>
              </w:rPr>
              <w:t>Name</w:t>
            </w:r>
          </w:p>
        </w:tc>
        <w:tc>
          <w:tcPr>
            <w:tcW w:w="7484" w:type="dxa"/>
          </w:tcPr>
          <w:p w14:paraId="4F959C55" w14:textId="77777777" w:rsidR="00727FEB" w:rsidRDefault="00727FEB" w:rsidP="00727FEB">
            <w:pPr>
              <w:rPr>
                <w:color w:val="1F4E79" w:themeColor="accent1" w:themeShade="80"/>
              </w:rPr>
            </w:pPr>
          </w:p>
          <w:p w14:paraId="7806361B" w14:textId="77777777" w:rsidR="00726069" w:rsidRDefault="00726069" w:rsidP="00727FEB">
            <w:pPr>
              <w:rPr>
                <w:color w:val="1F4E79" w:themeColor="accent1" w:themeShade="80"/>
              </w:rPr>
            </w:pPr>
          </w:p>
        </w:tc>
      </w:tr>
      <w:tr w:rsidR="00727FEB" w14:paraId="16893A80" w14:textId="77777777" w:rsidTr="00D62452">
        <w:tc>
          <w:tcPr>
            <w:tcW w:w="1696" w:type="dxa"/>
          </w:tcPr>
          <w:p w14:paraId="15603FDB" w14:textId="64D2B316" w:rsidR="00727FEB" w:rsidRDefault="00727FEB" w:rsidP="00727FEB">
            <w:pPr>
              <w:rPr>
                <w:color w:val="1F4E79" w:themeColor="accent1" w:themeShade="80"/>
              </w:rPr>
            </w:pPr>
            <w:r>
              <w:rPr>
                <w:color w:val="1F4E79" w:themeColor="accent1" w:themeShade="80"/>
              </w:rPr>
              <w:t>Address</w:t>
            </w:r>
          </w:p>
        </w:tc>
        <w:tc>
          <w:tcPr>
            <w:tcW w:w="7484" w:type="dxa"/>
          </w:tcPr>
          <w:p w14:paraId="399B3EBF" w14:textId="77777777" w:rsidR="00727FEB" w:rsidRDefault="00727FEB" w:rsidP="00727FEB">
            <w:pPr>
              <w:rPr>
                <w:color w:val="1F4E79" w:themeColor="accent1" w:themeShade="80"/>
              </w:rPr>
            </w:pPr>
          </w:p>
          <w:p w14:paraId="13C3055F" w14:textId="77777777" w:rsidR="00726069" w:rsidRDefault="00726069" w:rsidP="00727FEB">
            <w:pPr>
              <w:rPr>
                <w:color w:val="1F4E79" w:themeColor="accent1" w:themeShade="80"/>
              </w:rPr>
            </w:pPr>
          </w:p>
          <w:p w14:paraId="287E7633" w14:textId="77777777" w:rsidR="00726069" w:rsidRDefault="00726069" w:rsidP="00727FEB">
            <w:pPr>
              <w:rPr>
                <w:color w:val="1F4E79" w:themeColor="accent1" w:themeShade="80"/>
              </w:rPr>
            </w:pPr>
          </w:p>
        </w:tc>
      </w:tr>
      <w:tr w:rsidR="00727FEB" w14:paraId="4DC1DDC9" w14:textId="77777777" w:rsidTr="00D62452">
        <w:tc>
          <w:tcPr>
            <w:tcW w:w="1696" w:type="dxa"/>
          </w:tcPr>
          <w:p w14:paraId="29960E47" w14:textId="1A4DEDC6" w:rsidR="00727FEB" w:rsidRDefault="00727FEB" w:rsidP="00727FEB">
            <w:pPr>
              <w:rPr>
                <w:color w:val="1F4E79" w:themeColor="accent1" w:themeShade="80"/>
              </w:rPr>
            </w:pPr>
            <w:r w:rsidRPr="0046605A">
              <w:rPr>
                <w:color w:val="1F4E79" w:themeColor="accent1" w:themeShade="80"/>
              </w:rPr>
              <w:t>Telephone</w:t>
            </w:r>
          </w:p>
        </w:tc>
        <w:tc>
          <w:tcPr>
            <w:tcW w:w="7484" w:type="dxa"/>
          </w:tcPr>
          <w:p w14:paraId="3BB1DB23" w14:textId="77777777" w:rsidR="00727FEB" w:rsidRDefault="00727FEB" w:rsidP="00727FEB">
            <w:pPr>
              <w:rPr>
                <w:color w:val="1F4E79" w:themeColor="accent1" w:themeShade="80"/>
              </w:rPr>
            </w:pPr>
          </w:p>
          <w:p w14:paraId="7CAE8218" w14:textId="77777777" w:rsidR="00726069" w:rsidRDefault="00726069" w:rsidP="00727FEB">
            <w:pPr>
              <w:rPr>
                <w:color w:val="1F4E79" w:themeColor="accent1" w:themeShade="80"/>
              </w:rPr>
            </w:pPr>
          </w:p>
        </w:tc>
      </w:tr>
      <w:tr w:rsidR="00727FEB" w14:paraId="0E7C279D" w14:textId="77777777" w:rsidTr="00D62452">
        <w:tc>
          <w:tcPr>
            <w:tcW w:w="1696" w:type="dxa"/>
          </w:tcPr>
          <w:p w14:paraId="216646A8" w14:textId="3413DC41" w:rsidR="00727FEB" w:rsidRDefault="00727FEB" w:rsidP="00727FEB">
            <w:pPr>
              <w:rPr>
                <w:color w:val="1F4E79" w:themeColor="accent1" w:themeShade="80"/>
              </w:rPr>
            </w:pPr>
            <w:r w:rsidRPr="0046605A">
              <w:rPr>
                <w:color w:val="1F4E79" w:themeColor="accent1" w:themeShade="80"/>
              </w:rPr>
              <w:t>Email</w:t>
            </w:r>
          </w:p>
        </w:tc>
        <w:tc>
          <w:tcPr>
            <w:tcW w:w="7484" w:type="dxa"/>
          </w:tcPr>
          <w:p w14:paraId="3130AE73" w14:textId="77777777" w:rsidR="00727FEB" w:rsidRDefault="00727FEB" w:rsidP="00727FEB">
            <w:pPr>
              <w:rPr>
                <w:color w:val="1F4E79" w:themeColor="accent1" w:themeShade="80"/>
              </w:rPr>
            </w:pPr>
          </w:p>
          <w:p w14:paraId="6BB15E51" w14:textId="77777777" w:rsidR="00726069" w:rsidRDefault="00726069" w:rsidP="00727FEB">
            <w:pPr>
              <w:rPr>
                <w:color w:val="1F4E79" w:themeColor="accent1" w:themeShade="80"/>
              </w:rPr>
            </w:pPr>
          </w:p>
        </w:tc>
      </w:tr>
      <w:tr w:rsidR="00727FEB" w14:paraId="08C3A195" w14:textId="77777777" w:rsidTr="00D62452">
        <w:tc>
          <w:tcPr>
            <w:tcW w:w="1696" w:type="dxa"/>
          </w:tcPr>
          <w:p w14:paraId="36396463" w14:textId="42E198D8" w:rsidR="0011613F" w:rsidRDefault="0011613F" w:rsidP="0011613F">
            <w:pPr>
              <w:rPr>
                <w:color w:val="1F4E79" w:themeColor="accent1" w:themeShade="80"/>
              </w:rPr>
            </w:pPr>
            <w:r>
              <w:rPr>
                <w:color w:val="1F4E79" w:themeColor="accent1" w:themeShade="80"/>
              </w:rPr>
              <w:t>Proposed conference participant</w:t>
            </w:r>
          </w:p>
          <w:p w14:paraId="4C0871F3" w14:textId="52CCF45E" w:rsidR="00727FEB" w:rsidRPr="00727FEB" w:rsidRDefault="00727FEB" w:rsidP="0011613F">
            <w:pPr>
              <w:rPr>
                <w:i/>
                <w:color w:val="1F4E79" w:themeColor="accent1" w:themeShade="80"/>
                <w:sz w:val="18"/>
                <w:szCs w:val="18"/>
              </w:rPr>
            </w:pPr>
          </w:p>
        </w:tc>
        <w:tc>
          <w:tcPr>
            <w:tcW w:w="7484" w:type="dxa"/>
          </w:tcPr>
          <w:p w14:paraId="33A1385C" w14:textId="1B1EBE2D" w:rsidR="00727FEB" w:rsidRDefault="00DE1D12" w:rsidP="00727FEB">
            <w:pPr>
              <w:rPr>
                <w:color w:val="1F4E79" w:themeColor="accent1" w:themeShade="80"/>
              </w:rPr>
            </w:pPr>
            <w:r w:rsidRPr="002F065A">
              <w:rPr>
                <w:i/>
                <w:color w:val="1F4E79" w:themeColor="accent1" w:themeShade="80"/>
                <w:sz w:val="18"/>
                <w:szCs w:val="18"/>
              </w:rPr>
              <w:t>[</w:t>
            </w:r>
            <w:r w:rsidRPr="0046605A">
              <w:rPr>
                <w:i/>
                <w:color w:val="1F4E79" w:themeColor="accent1" w:themeShade="80"/>
                <w:sz w:val="18"/>
                <w:szCs w:val="18"/>
              </w:rPr>
              <w:t xml:space="preserve">or other staff member </w:t>
            </w:r>
            <w:r>
              <w:rPr>
                <w:i/>
                <w:color w:val="1F4E79" w:themeColor="accent1" w:themeShade="80"/>
                <w:sz w:val="18"/>
                <w:szCs w:val="18"/>
              </w:rPr>
              <w:t xml:space="preserve">who </w:t>
            </w:r>
            <w:r w:rsidRPr="0046605A">
              <w:rPr>
                <w:i/>
                <w:color w:val="1F4E79" w:themeColor="accent1" w:themeShade="80"/>
                <w:sz w:val="18"/>
                <w:szCs w:val="18"/>
              </w:rPr>
              <w:t xml:space="preserve">will participate in European Vocational Skills Week </w:t>
            </w:r>
            <w:r>
              <w:rPr>
                <w:i/>
                <w:color w:val="1F4E79" w:themeColor="accent1" w:themeShade="80"/>
                <w:sz w:val="18"/>
                <w:szCs w:val="18"/>
              </w:rPr>
              <w:t>and Gala Dinner</w:t>
            </w:r>
            <w:r w:rsidR="0011613F">
              <w:rPr>
                <w:i/>
                <w:color w:val="1F4E79" w:themeColor="accent1" w:themeShade="80"/>
                <w:sz w:val="18"/>
                <w:szCs w:val="18"/>
              </w:rPr>
              <w:t>]</w:t>
            </w:r>
          </w:p>
          <w:p w14:paraId="7B084ECA" w14:textId="77777777" w:rsidR="00726069" w:rsidRDefault="00726069" w:rsidP="00727FEB">
            <w:pPr>
              <w:rPr>
                <w:color w:val="1F4E79" w:themeColor="accent1" w:themeShade="80"/>
              </w:rPr>
            </w:pPr>
          </w:p>
        </w:tc>
      </w:tr>
      <w:tr w:rsidR="00DE1D12" w14:paraId="7D6AF570" w14:textId="77777777" w:rsidTr="00D62452">
        <w:tc>
          <w:tcPr>
            <w:tcW w:w="1696" w:type="dxa"/>
          </w:tcPr>
          <w:p w14:paraId="3A6FEFED" w14:textId="5F98F42B" w:rsidR="00DE1D12" w:rsidRPr="0046605A" w:rsidRDefault="00DE1D12" w:rsidP="00DE1D12">
            <w:pPr>
              <w:rPr>
                <w:color w:val="1F4E79" w:themeColor="accent1" w:themeShade="80"/>
              </w:rPr>
            </w:pPr>
            <w:r>
              <w:rPr>
                <w:color w:val="1F4E79" w:themeColor="accent1" w:themeShade="80"/>
              </w:rPr>
              <w:t>Alternative</w:t>
            </w:r>
            <w:r w:rsidR="0011613F">
              <w:rPr>
                <w:color w:val="1F4E79" w:themeColor="accent1" w:themeShade="80"/>
              </w:rPr>
              <w:t xml:space="preserve"> participant</w:t>
            </w:r>
            <w:r>
              <w:rPr>
                <w:color w:val="1F4E79" w:themeColor="accent1" w:themeShade="80"/>
              </w:rPr>
              <w:t xml:space="preserve"> </w:t>
            </w:r>
          </w:p>
        </w:tc>
        <w:tc>
          <w:tcPr>
            <w:tcW w:w="7484" w:type="dxa"/>
          </w:tcPr>
          <w:p w14:paraId="0B8D8053" w14:textId="77777777" w:rsidR="0011613F" w:rsidRDefault="00DE1D12" w:rsidP="0011613F">
            <w:pPr>
              <w:rPr>
                <w:i/>
                <w:color w:val="1F4E79" w:themeColor="accent1" w:themeShade="80"/>
                <w:sz w:val="18"/>
                <w:szCs w:val="18"/>
              </w:rPr>
            </w:pPr>
            <w:r w:rsidRPr="002F065A">
              <w:rPr>
                <w:i/>
                <w:color w:val="1F4E79" w:themeColor="accent1" w:themeShade="80"/>
                <w:sz w:val="18"/>
                <w:szCs w:val="18"/>
              </w:rPr>
              <w:t>[</w:t>
            </w:r>
            <w:r w:rsidR="0011613F">
              <w:rPr>
                <w:i/>
                <w:color w:val="1F4E79" w:themeColor="accent1" w:themeShade="80"/>
                <w:sz w:val="18"/>
                <w:szCs w:val="18"/>
              </w:rPr>
              <w:t>Should the conference participant above not be able to join the conference and award ceremony in November, for whatever reason, an alternative participant from the will be invited</w:t>
            </w:r>
            <w:r>
              <w:rPr>
                <w:i/>
                <w:color w:val="1F4E79" w:themeColor="accent1" w:themeShade="80"/>
                <w:sz w:val="18"/>
                <w:szCs w:val="18"/>
              </w:rPr>
              <w:t>]</w:t>
            </w:r>
          </w:p>
          <w:p w14:paraId="3A932C52" w14:textId="77777777" w:rsidR="0011613F" w:rsidRDefault="0011613F" w:rsidP="0011613F">
            <w:pPr>
              <w:rPr>
                <w:i/>
                <w:color w:val="1F4E79" w:themeColor="accent1" w:themeShade="80"/>
                <w:sz w:val="18"/>
                <w:szCs w:val="18"/>
              </w:rPr>
            </w:pPr>
          </w:p>
          <w:p w14:paraId="73542060" w14:textId="4E80B456" w:rsidR="00DE1D12" w:rsidRDefault="00DE1D12" w:rsidP="0011613F">
            <w:pPr>
              <w:rPr>
                <w:color w:val="1F4E79" w:themeColor="accent1" w:themeShade="80"/>
              </w:rPr>
            </w:pPr>
          </w:p>
        </w:tc>
      </w:tr>
      <w:tr w:rsidR="00DE1D12" w14:paraId="23634CDB" w14:textId="77777777" w:rsidTr="00B04D25">
        <w:trPr>
          <w:trHeight w:val="645"/>
        </w:trPr>
        <w:tc>
          <w:tcPr>
            <w:tcW w:w="1696" w:type="dxa"/>
          </w:tcPr>
          <w:p w14:paraId="6411F258" w14:textId="35022C78" w:rsidR="00DE1D12" w:rsidRDefault="00DE1D12" w:rsidP="00DE1D12">
            <w:pPr>
              <w:rPr>
                <w:color w:val="1F4E79" w:themeColor="accent1" w:themeShade="80"/>
              </w:rPr>
            </w:pPr>
            <w:r>
              <w:rPr>
                <w:color w:val="1F4E79" w:themeColor="accent1" w:themeShade="80"/>
              </w:rPr>
              <w:t>Policy partner</w:t>
            </w:r>
          </w:p>
          <w:p w14:paraId="261D29D4" w14:textId="61771703" w:rsidR="00DE1D12" w:rsidRDefault="00DE1D12" w:rsidP="00DE1D12">
            <w:pPr>
              <w:rPr>
                <w:color w:val="1F4E79" w:themeColor="accent1" w:themeShade="80"/>
              </w:rPr>
            </w:pPr>
          </w:p>
        </w:tc>
        <w:tc>
          <w:tcPr>
            <w:tcW w:w="7484" w:type="dxa"/>
          </w:tcPr>
          <w:p w14:paraId="30BAA888" w14:textId="0F108310" w:rsidR="00DE1D12" w:rsidRPr="00726069" w:rsidRDefault="00DE1D12" w:rsidP="00DE1D12">
            <w:pPr>
              <w:rPr>
                <w:i/>
                <w:color w:val="1F4E79" w:themeColor="accent1" w:themeShade="80"/>
                <w:sz w:val="18"/>
                <w:szCs w:val="18"/>
              </w:rPr>
            </w:pPr>
            <w:r>
              <w:rPr>
                <w:i/>
                <w:color w:val="1F4E79" w:themeColor="accent1" w:themeShade="80"/>
              </w:rPr>
              <w:t>[</w:t>
            </w:r>
            <w:r w:rsidRPr="00726069">
              <w:rPr>
                <w:i/>
                <w:color w:val="1F4E79" w:themeColor="accent1" w:themeShade="80"/>
                <w:sz w:val="18"/>
                <w:szCs w:val="18"/>
              </w:rPr>
              <w:t xml:space="preserve">The winning submission will be invited to participate in the 2018 European Vocational Skills Week and the award ceremony in Vienna, Austria, together with an education and training policy maker associated with the good practice. After consulting with policymaker, please provide details of the policy official who will accompany </w:t>
            </w:r>
            <w:r w:rsidR="0011613F">
              <w:rPr>
                <w:i/>
                <w:color w:val="1F4E79" w:themeColor="accent1" w:themeShade="80"/>
                <w:sz w:val="18"/>
                <w:szCs w:val="18"/>
              </w:rPr>
              <w:t xml:space="preserve">the participant to </w:t>
            </w:r>
            <w:r w:rsidRPr="00726069">
              <w:rPr>
                <w:i/>
                <w:color w:val="1F4E79" w:themeColor="accent1" w:themeShade="80"/>
                <w:sz w:val="18"/>
                <w:szCs w:val="18"/>
              </w:rPr>
              <w:t>Vienna]</w:t>
            </w:r>
          </w:p>
          <w:p w14:paraId="47DA7911" w14:textId="414BD7E7" w:rsidR="00DE1D12" w:rsidRPr="0046470C" w:rsidRDefault="00DE1D12" w:rsidP="00DE1D12">
            <w:pPr>
              <w:rPr>
                <w:color w:val="1F4E79" w:themeColor="accent1" w:themeShade="80"/>
              </w:rPr>
            </w:pPr>
          </w:p>
        </w:tc>
      </w:tr>
      <w:tr w:rsidR="00DE1D12" w14:paraId="67404C69" w14:textId="77777777" w:rsidTr="00D62452">
        <w:trPr>
          <w:trHeight w:val="645"/>
        </w:trPr>
        <w:tc>
          <w:tcPr>
            <w:tcW w:w="1696" w:type="dxa"/>
            <w:vMerge/>
          </w:tcPr>
          <w:p w14:paraId="62134831" w14:textId="77777777" w:rsidR="00DE1D12" w:rsidRDefault="00DE1D12" w:rsidP="00DE1D12">
            <w:pPr>
              <w:rPr>
                <w:color w:val="1F4E79" w:themeColor="accent1" w:themeShade="80"/>
              </w:rPr>
            </w:pPr>
          </w:p>
        </w:tc>
        <w:tc>
          <w:tcPr>
            <w:tcW w:w="7484" w:type="dxa"/>
          </w:tcPr>
          <w:p w14:paraId="18C561A9" w14:textId="13495F2E" w:rsidR="00DE1D12" w:rsidRDefault="00DE1D12" w:rsidP="00DE1D12">
            <w:pPr>
              <w:rPr>
                <w:i/>
                <w:color w:val="1F4E79" w:themeColor="accent1" w:themeShade="80"/>
              </w:rPr>
            </w:pPr>
            <w:r>
              <w:rPr>
                <w:color w:val="1F4E79" w:themeColor="accent1" w:themeShade="80"/>
              </w:rPr>
              <w:t>Name:</w:t>
            </w:r>
          </w:p>
        </w:tc>
      </w:tr>
      <w:tr w:rsidR="00DE1D12" w14:paraId="6C3D7E12" w14:textId="77777777" w:rsidTr="00D62452">
        <w:trPr>
          <w:trHeight w:val="645"/>
        </w:trPr>
        <w:tc>
          <w:tcPr>
            <w:tcW w:w="1696" w:type="dxa"/>
            <w:vMerge/>
          </w:tcPr>
          <w:p w14:paraId="28C044F1" w14:textId="77777777" w:rsidR="00DE1D12" w:rsidRDefault="00DE1D12" w:rsidP="00DE1D12">
            <w:pPr>
              <w:rPr>
                <w:color w:val="1F4E79" w:themeColor="accent1" w:themeShade="80"/>
              </w:rPr>
            </w:pPr>
          </w:p>
        </w:tc>
        <w:tc>
          <w:tcPr>
            <w:tcW w:w="7484" w:type="dxa"/>
          </w:tcPr>
          <w:p w14:paraId="74CC09E8" w14:textId="77777777" w:rsidR="00DE1D12" w:rsidRDefault="00DE1D12" w:rsidP="00DE1D12">
            <w:pPr>
              <w:rPr>
                <w:color w:val="1F4E79" w:themeColor="accent1" w:themeShade="80"/>
              </w:rPr>
            </w:pPr>
            <w:r>
              <w:rPr>
                <w:color w:val="1F4E79" w:themeColor="accent1" w:themeShade="80"/>
              </w:rPr>
              <w:t>Title:</w:t>
            </w:r>
          </w:p>
          <w:p w14:paraId="7321A17F" w14:textId="4A2C44EC" w:rsidR="00DE1D12" w:rsidRDefault="00DE1D12" w:rsidP="00DE1D12">
            <w:pPr>
              <w:rPr>
                <w:i/>
                <w:color w:val="1F4E79" w:themeColor="accent1" w:themeShade="80"/>
              </w:rPr>
            </w:pPr>
          </w:p>
        </w:tc>
      </w:tr>
      <w:tr w:rsidR="00DE1D12" w14:paraId="1AE71E49" w14:textId="77777777" w:rsidTr="00D62452">
        <w:trPr>
          <w:trHeight w:val="645"/>
        </w:trPr>
        <w:tc>
          <w:tcPr>
            <w:tcW w:w="1696" w:type="dxa"/>
            <w:vMerge/>
          </w:tcPr>
          <w:p w14:paraId="0E1A58FA" w14:textId="77777777" w:rsidR="00DE1D12" w:rsidRDefault="00DE1D12" w:rsidP="00DE1D12">
            <w:pPr>
              <w:rPr>
                <w:color w:val="1F4E79" w:themeColor="accent1" w:themeShade="80"/>
              </w:rPr>
            </w:pPr>
          </w:p>
        </w:tc>
        <w:tc>
          <w:tcPr>
            <w:tcW w:w="7484" w:type="dxa"/>
          </w:tcPr>
          <w:p w14:paraId="23D4199B" w14:textId="6A5AC3B0" w:rsidR="00DE1D12" w:rsidRDefault="00DE1D12" w:rsidP="00DE1D12">
            <w:pPr>
              <w:rPr>
                <w:i/>
                <w:color w:val="1F4E79" w:themeColor="accent1" w:themeShade="80"/>
              </w:rPr>
            </w:pPr>
            <w:r>
              <w:rPr>
                <w:color w:val="1F4E79" w:themeColor="accent1" w:themeShade="80"/>
              </w:rPr>
              <w:t xml:space="preserve">Organisation: </w:t>
            </w:r>
          </w:p>
        </w:tc>
      </w:tr>
      <w:tr w:rsidR="00DE1D12" w14:paraId="48EF4BF1" w14:textId="77777777" w:rsidTr="00B04D25">
        <w:trPr>
          <w:trHeight w:val="270"/>
        </w:trPr>
        <w:tc>
          <w:tcPr>
            <w:tcW w:w="1696" w:type="dxa"/>
            <w:vMerge/>
          </w:tcPr>
          <w:p w14:paraId="2F819B3B" w14:textId="77777777" w:rsidR="00DE1D12" w:rsidRDefault="00DE1D12" w:rsidP="00DE1D12">
            <w:pPr>
              <w:rPr>
                <w:color w:val="1F4E79" w:themeColor="accent1" w:themeShade="80"/>
              </w:rPr>
            </w:pPr>
          </w:p>
        </w:tc>
        <w:tc>
          <w:tcPr>
            <w:tcW w:w="7484" w:type="dxa"/>
          </w:tcPr>
          <w:p w14:paraId="7237B412" w14:textId="41924ACA" w:rsidR="00DE1D12" w:rsidRDefault="00DE1D12" w:rsidP="00DE1D12">
            <w:pPr>
              <w:rPr>
                <w:color w:val="1F4E79" w:themeColor="accent1" w:themeShade="80"/>
              </w:rPr>
            </w:pPr>
            <w:r>
              <w:rPr>
                <w:color w:val="1F4E79" w:themeColor="accent1" w:themeShade="80"/>
              </w:rPr>
              <w:t>Address:</w:t>
            </w:r>
          </w:p>
          <w:p w14:paraId="2AF93592" w14:textId="77777777" w:rsidR="00DE1D12" w:rsidRDefault="00DE1D12" w:rsidP="00DE1D12">
            <w:pPr>
              <w:rPr>
                <w:i/>
                <w:color w:val="1F4E79" w:themeColor="accent1" w:themeShade="80"/>
              </w:rPr>
            </w:pPr>
          </w:p>
          <w:p w14:paraId="04E004E6" w14:textId="77777777" w:rsidR="00DE1D12" w:rsidRDefault="00DE1D12" w:rsidP="00DE1D12">
            <w:pPr>
              <w:rPr>
                <w:i/>
                <w:color w:val="1F4E79" w:themeColor="accent1" w:themeShade="80"/>
              </w:rPr>
            </w:pPr>
          </w:p>
          <w:p w14:paraId="1A2CEF91" w14:textId="20850ABA" w:rsidR="00DE1D12" w:rsidRDefault="00DE1D12" w:rsidP="00DE1D12">
            <w:pPr>
              <w:rPr>
                <w:i/>
                <w:color w:val="1F4E79" w:themeColor="accent1" w:themeShade="80"/>
              </w:rPr>
            </w:pPr>
          </w:p>
        </w:tc>
      </w:tr>
      <w:tr w:rsidR="00DE1D12" w14:paraId="6D4A9370" w14:textId="77777777" w:rsidTr="00D62452">
        <w:trPr>
          <w:trHeight w:val="270"/>
        </w:trPr>
        <w:tc>
          <w:tcPr>
            <w:tcW w:w="1696" w:type="dxa"/>
            <w:vMerge/>
          </w:tcPr>
          <w:p w14:paraId="049E95BD" w14:textId="77777777" w:rsidR="00DE1D12" w:rsidRDefault="00DE1D12" w:rsidP="00DE1D12">
            <w:pPr>
              <w:rPr>
                <w:color w:val="1F4E79" w:themeColor="accent1" w:themeShade="80"/>
              </w:rPr>
            </w:pPr>
          </w:p>
        </w:tc>
        <w:tc>
          <w:tcPr>
            <w:tcW w:w="7484" w:type="dxa"/>
          </w:tcPr>
          <w:p w14:paraId="51DA9106" w14:textId="09F50E3B" w:rsidR="00DE1D12" w:rsidRDefault="00DE1D12" w:rsidP="00DE1D12">
            <w:pPr>
              <w:rPr>
                <w:color w:val="1F4E79" w:themeColor="accent1" w:themeShade="80"/>
              </w:rPr>
            </w:pPr>
            <w:r>
              <w:rPr>
                <w:color w:val="1F4E79" w:themeColor="accent1" w:themeShade="80"/>
              </w:rPr>
              <w:t>Email:</w:t>
            </w:r>
          </w:p>
          <w:p w14:paraId="52E31933" w14:textId="365CB72C" w:rsidR="00DE1D12" w:rsidRDefault="00DE1D12" w:rsidP="00DE1D12">
            <w:pPr>
              <w:rPr>
                <w:i/>
                <w:color w:val="1F4E79" w:themeColor="accent1" w:themeShade="80"/>
              </w:rPr>
            </w:pPr>
          </w:p>
        </w:tc>
      </w:tr>
      <w:tr w:rsidR="00DE1D12" w14:paraId="1D8CBC83" w14:textId="77777777" w:rsidTr="00D62452">
        <w:trPr>
          <w:trHeight w:val="270"/>
        </w:trPr>
        <w:tc>
          <w:tcPr>
            <w:tcW w:w="1696" w:type="dxa"/>
            <w:vMerge/>
          </w:tcPr>
          <w:p w14:paraId="61072EB0" w14:textId="77777777" w:rsidR="00DE1D12" w:rsidRDefault="00DE1D12" w:rsidP="00DE1D12">
            <w:pPr>
              <w:rPr>
                <w:color w:val="1F4E79" w:themeColor="accent1" w:themeShade="80"/>
              </w:rPr>
            </w:pPr>
          </w:p>
        </w:tc>
        <w:tc>
          <w:tcPr>
            <w:tcW w:w="7484" w:type="dxa"/>
          </w:tcPr>
          <w:p w14:paraId="1DEBDE37" w14:textId="77777777" w:rsidR="00DE1D12" w:rsidRDefault="00DE1D12" w:rsidP="00DE1D12">
            <w:pPr>
              <w:rPr>
                <w:color w:val="1F4E79" w:themeColor="accent1" w:themeShade="80"/>
              </w:rPr>
            </w:pPr>
            <w:r>
              <w:rPr>
                <w:color w:val="1F4E79" w:themeColor="accent1" w:themeShade="80"/>
              </w:rPr>
              <w:t>Telephone:</w:t>
            </w:r>
          </w:p>
          <w:p w14:paraId="6B9711A4" w14:textId="7CB8A58A" w:rsidR="00DE1D12" w:rsidRDefault="00DE1D12" w:rsidP="00DE1D12">
            <w:pPr>
              <w:rPr>
                <w:i/>
                <w:color w:val="1F4E79" w:themeColor="accent1" w:themeShade="80"/>
              </w:rPr>
            </w:pPr>
          </w:p>
        </w:tc>
      </w:tr>
      <w:tr w:rsidR="0011613F" w14:paraId="46AECB56" w14:textId="77777777" w:rsidTr="00D62452">
        <w:trPr>
          <w:trHeight w:val="270"/>
        </w:trPr>
        <w:tc>
          <w:tcPr>
            <w:tcW w:w="1696" w:type="dxa"/>
          </w:tcPr>
          <w:p w14:paraId="04D3D0CD" w14:textId="23284F3F" w:rsidR="0011613F" w:rsidRDefault="0011613F" w:rsidP="0011613F">
            <w:pPr>
              <w:rPr>
                <w:color w:val="1F4E79" w:themeColor="accent1" w:themeShade="80"/>
              </w:rPr>
            </w:pPr>
            <w:r>
              <w:rPr>
                <w:color w:val="1F4E79" w:themeColor="accent1" w:themeShade="80"/>
              </w:rPr>
              <w:t>Cooperation with business (</w:t>
            </w:r>
            <w:r w:rsidRPr="00660EBC">
              <w:rPr>
                <w:i/>
                <w:color w:val="1F4E79" w:themeColor="accent1" w:themeShade="80"/>
              </w:rPr>
              <w:t>optional</w:t>
            </w:r>
            <w:r>
              <w:rPr>
                <w:color w:val="1F4E79" w:themeColor="accent1" w:themeShade="80"/>
              </w:rPr>
              <w:t>)</w:t>
            </w:r>
          </w:p>
        </w:tc>
        <w:tc>
          <w:tcPr>
            <w:tcW w:w="7484" w:type="dxa"/>
          </w:tcPr>
          <w:p w14:paraId="013F42D6" w14:textId="77777777" w:rsidR="0011613F" w:rsidRPr="00726069" w:rsidRDefault="0011613F" w:rsidP="0011613F">
            <w:pPr>
              <w:rPr>
                <w:i/>
                <w:color w:val="1F4E79" w:themeColor="accent1" w:themeShade="80"/>
                <w:sz w:val="18"/>
                <w:szCs w:val="18"/>
              </w:rPr>
            </w:pPr>
            <w:r w:rsidRPr="00726069">
              <w:rPr>
                <w:i/>
                <w:color w:val="1F4E79" w:themeColor="accent1" w:themeShade="80"/>
                <w:sz w:val="18"/>
                <w:szCs w:val="18"/>
              </w:rPr>
              <w:t>[Please provide brief details on the role that businesses play in the good practice, if any.]</w:t>
            </w:r>
          </w:p>
          <w:p w14:paraId="72F3BA1F" w14:textId="77777777" w:rsidR="0011613F" w:rsidRDefault="0011613F" w:rsidP="0011613F">
            <w:pPr>
              <w:rPr>
                <w:i/>
                <w:color w:val="1F4E79" w:themeColor="accent1" w:themeShade="80"/>
              </w:rPr>
            </w:pPr>
          </w:p>
          <w:p w14:paraId="0B3821D1" w14:textId="77777777" w:rsidR="0011613F" w:rsidRDefault="0011613F" w:rsidP="0011613F">
            <w:pPr>
              <w:rPr>
                <w:i/>
                <w:color w:val="1F4E79" w:themeColor="accent1" w:themeShade="80"/>
              </w:rPr>
            </w:pPr>
          </w:p>
          <w:p w14:paraId="0375F2D2" w14:textId="77777777" w:rsidR="0011613F" w:rsidRDefault="0011613F" w:rsidP="0011613F">
            <w:pPr>
              <w:rPr>
                <w:i/>
                <w:color w:val="1F4E79" w:themeColor="accent1" w:themeShade="80"/>
              </w:rPr>
            </w:pPr>
          </w:p>
          <w:p w14:paraId="5EF115FD" w14:textId="77777777" w:rsidR="0011613F" w:rsidRDefault="0011613F" w:rsidP="0011613F">
            <w:pPr>
              <w:rPr>
                <w:i/>
                <w:color w:val="1F4E79" w:themeColor="accent1" w:themeShade="80"/>
              </w:rPr>
            </w:pPr>
          </w:p>
          <w:p w14:paraId="61E5717C" w14:textId="77777777" w:rsidR="0011613F" w:rsidRDefault="0011613F" w:rsidP="0011613F">
            <w:pPr>
              <w:rPr>
                <w:i/>
                <w:color w:val="1F4E79" w:themeColor="accent1" w:themeShade="80"/>
              </w:rPr>
            </w:pPr>
          </w:p>
          <w:p w14:paraId="3A3F9570" w14:textId="77777777" w:rsidR="0011613F" w:rsidRDefault="0011613F" w:rsidP="0011613F">
            <w:pPr>
              <w:rPr>
                <w:i/>
                <w:color w:val="1F4E79" w:themeColor="accent1" w:themeShade="80"/>
              </w:rPr>
            </w:pPr>
          </w:p>
          <w:p w14:paraId="3454B90A" w14:textId="77777777" w:rsidR="0011613F" w:rsidRDefault="0011613F" w:rsidP="0011613F">
            <w:pPr>
              <w:rPr>
                <w:i/>
                <w:color w:val="1F4E79" w:themeColor="accent1" w:themeShade="80"/>
              </w:rPr>
            </w:pPr>
          </w:p>
          <w:p w14:paraId="314B75D2" w14:textId="77777777" w:rsidR="0011613F" w:rsidRDefault="0011613F" w:rsidP="0011613F">
            <w:pPr>
              <w:rPr>
                <w:i/>
                <w:color w:val="1F4E79" w:themeColor="accent1" w:themeShade="80"/>
              </w:rPr>
            </w:pPr>
          </w:p>
          <w:p w14:paraId="4CFDFBB9" w14:textId="00C1BACF" w:rsidR="0011613F" w:rsidRDefault="0011613F" w:rsidP="0011613F">
            <w:pPr>
              <w:rPr>
                <w:color w:val="1F4E79" w:themeColor="accent1" w:themeShade="80"/>
              </w:rPr>
            </w:pPr>
          </w:p>
        </w:tc>
      </w:tr>
    </w:tbl>
    <w:p w14:paraId="4188DF0C" w14:textId="77777777" w:rsidR="00D62452" w:rsidRPr="00563718" w:rsidRDefault="00D62452" w:rsidP="005F78EF"/>
    <w:p w14:paraId="2E395C89" w14:textId="11FA9F86" w:rsidR="005F78EF" w:rsidRPr="00BD409C" w:rsidRDefault="00EF4392" w:rsidP="00BD409C">
      <w:pPr>
        <w:spacing w:after="0"/>
        <w:rPr>
          <w:b/>
          <w:color w:val="1F4E79" w:themeColor="accent1" w:themeShade="80"/>
          <w:sz w:val="26"/>
          <w:szCs w:val="26"/>
        </w:rPr>
      </w:pPr>
      <w:r>
        <w:rPr>
          <w:b/>
          <w:color w:val="1F4E79" w:themeColor="accent1" w:themeShade="80"/>
          <w:sz w:val="26"/>
          <w:szCs w:val="26"/>
        </w:rPr>
        <w:lastRenderedPageBreak/>
        <w:t>2</w:t>
      </w:r>
      <w:r w:rsidR="00A938B3" w:rsidRPr="00BD409C">
        <w:rPr>
          <w:b/>
          <w:color w:val="1F4E79" w:themeColor="accent1" w:themeShade="80"/>
          <w:sz w:val="26"/>
          <w:szCs w:val="26"/>
        </w:rPr>
        <w:t xml:space="preserve">. </w:t>
      </w:r>
      <w:r w:rsidR="00A938B3" w:rsidRPr="00BD409C">
        <w:rPr>
          <w:b/>
          <w:color w:val="1F4E79" w:themeColor="accent1" w:themeShade="80"/>
          <w:sz w:val="26"/>
          <w:szCs w:val="26"/>
        </w:rPr>
        <w:tab/>
      </w:r>
      <w:r w:rsidR="005F78EF" w:rsidRPr="00BD409C">
        <w:rPr>
          <w:b/>
          <w:color w:val="1F4E79" w:themeColor="accent1" w:themeShade="80"/>
          <w:sz w:val="26"/>
          <w:szCs w:val="26"/>
        </w:rPr>
        <w:t xml:space="preserve">Entrepreneurship </w:t>
      </w:r>
      <w:r w:rsidR="00A938B3" w:rsidRPr="00BD409C">
        <w:rPr>
          <w:b/>
          <w:color w:val="1F4E79" w:themeColor="accent1" w:themeShade="80"/>
          <w:sz w:val="26"/>
          <w:szCs w:val="26"/>
        </w:rPr>
        <w:t xml:space="preserve">key </w:t>
      </w:r>
      <w:r w:rsidR="005F78EF" w:rsidRPr="00BD409C">
        <w:rPr>
          <w:b/>
          <w:color w:val="1F4E79" w:themeColor="accent1" w:themeShade="80"/>
          <w:sz w:val="26"/>
          <w:szCs w:val="26"/>
        </w:rPr>
        <w:t>competence</w:t>
      </w:r>
      <w:r w:rsidR="00726069">
        <w:rPr>
          <w:b/>
          <w:color w:val="1F4E79" w:themeColor="accent1" w:themeShade="80"/>
          <w:sz w:val="26"/>
          <w:szCs w:val="26"/>
        </w:rPr>
        <w:t>s ‘Ideas &amp; Opportunities’</w:t>
      </w:r>
    </w:p>
    <w:tbl>
      <w:tblPr>
        <w:tblStyle w:val="TableGrid"/>
        <w:tblW w:w="0" w:type="auto"/>
        <w:tblLook w:val="04A0" w:firstRow="1" w:lastRow="0" w:firstColumn="1" w:lastColumn="0" w:noHBand="0" w:noVBand="1"/>
      </w:tblPr>
      <w:tblGrid>
        <w:gridCol w:w="9016"/>
      </w:tblGrid>
      <w:tr w:rsidR="005F78EF" w:rsidRPr="00563718" w14:paraId="0B5810D6" w14:textId="77777777" w:rsidTr="005F78EF">
        <w:tc>
          <w:tcPr>
            <w:tcW w:w="9016" w:type="dxa"/>
          </w:tcPr>
          <w:p w14:paraId="56C680AA" w14:textId="05541F36" w:rsidR="00726069" w:rsidRDefault="00271220" w:rsidP="005F78EF">
            <w:pPr>
              <w:rPr>
                <w:i/>
                <w:color w:val="1F4E79" w:themeColor="accent1" w:themeShade="80"/>
                <w:sz w:val="18"/>
                <w:szCs w:val="18"/>
              </w:rPr>
            </w:pPr>
            <w:r>
              <w:rPr>
                <w:i/>
                <w:color w:val="1F4E79" w:themeColor="accent1" w:themeShade="80"/>
                <w:sz w:val="18"/>
                <w:szCs w:val="18"/>
              </w:rPr>
              <w:t>State</w:t>
            </w:r>
            <w:r w:rsidR="00726069">
              <w:rPr>
                <w:i/>
                <w:color w:val="1F4E79" w:themeColor="accent1" w:themeShade="80"/>
                <w:sz w:val="18"/>
                <w:szCs w:val="18"/>
              </w:rPr>
              <w:t xml:space="preserve"> </w:t>
            </w:r>
            <w:r>
              <w:rPr>
                <w:i/>
                <w:color w:val="1F4E79" w:themeColor="accent1" w:themeShade="80"/>
                <w:sz w:val="18"/>
                <w:szCs w:val="18"/>
              </w:rPr>
              <w:t>the</w:t>
            </w:r>
            <w:r w:rsidR="00726069">
              <w:rPr>
                <w:i/>
                <w:color w:val="1F4E79" w:themeColor="accent1" w:themeShade="80"/>
                <w:sz w:val="18"/>
                <w:szCs w:val="18"/>
              </w:rPr>
              <w:t xml:space="preserve"> competences you promote which specifically reflect those falling under the EntreComp ‘Ideas &amp; Opportunities’ competence area.</w:t>
            </w:r>
          </w:p>
          <w:p w14:paraId="501B24F9" w14:textId="3C66480A" w:rsidR="00726069" w:rsidRDefault="00726069" w:rsidP="005F78EF">
            <w:pPr>
              <w:rPr>
                <w:i/>
                <w:color w:val="1F4E79" w:themeColor="accent1" w:themeShade="80"/>
                <w:sz w:val="18"/>
                <w:szCs w:val="18"/>
              </w:rPr>
            </w:pPr>
          </w:p>
          <w:p w14:paraId="2E109FDA" w14:textId="77777777" w:rsidR="005F78EF" w:rsidRDefault="005F78EF" w:rsidP="005F78EF"/>
          <w:p w14:paraId="073DFD8A" w14:textId="57CF8BBE" w:rsidR="00271220" w:rsidRDefault="00271220" w:rsidP="005F78EF"/>
          <w:p w14:paraId="5A4D0542" w14:textId="77777777" w:rsidR="00271220" w:rsidRDefault="00271220" w:rsidP="005F78EF"/>
          <w:p w14:paraId="1E1B8046" w14:textId="77777777" w:rsidR="00271220" w:rsidRDefault="00271220" w:rsidP="005F78EF"/>
          <w:p w14:paraId="1E30AC38" w14:textId="77777777" w:rsidR="00271220" w:rsidRPr="00563718" w:rsidRDefault="00271220" w:rsidP="005F78EF"/>
          <w:p w14:paraId="74B58D73" w14:textId="77777777" w:rsidR="009D49B5" w:rsidRDefault="009D49B5" w:rsidP="009D49B5"/>
          <w:p w14:paraId="600B19FE" w14:textId="74007307" w:rsidR="009D49B5" w:rsidRPr="00726069" w:rsidRDefault="009D49B5" w:rsidP="009D49B5">
            <w:pPr>
              <w:rPr>
                <w:i/>
                <w:color w:val="1F4E79" w:themeColor="accent1" w:themeShade="80"/>
                <w:sz w:val="18"/>
                <w:szCs w:val="18"/>
              </w:rPr>
            </w:pPr>
            <w:r>
              <w:rPr>
                <w:i/>
                <w:color w:val="1F4E79" w:themeColor="accent1" w:themeShade="80"/>
                <w:sz w:val="18"/>
                <w:szCs w:val="18"/>
              </w:rPr>
              <w:t>P</w:t>
            </w:r>
            <w:r w:rsidRPr="00726069">
              <w:rPr>
                <w:i/>
                <w:color w:val="1F4E79" w:themeColor="accent1" w:themeShade="80"/>
                <w:sz w:val="18"/>
                <w:szCs w:val="18"/>
              </w:rPr>
              <w:t xml:space="preserve">rovide an example(s) of a learning outcome(s) for the competence(s) chosen (max. 100 words) </w:t>
            </w:r>
          </w:p>
          <w:p w14:paraId="4ED138C0" w14:textId="5221938A" w:rsidR="00302A1E" w:rsidRPr="00563718" w:rsidRDefault="00302A1E" w:rsidP="005F78EF"/>
          <w:p w14:paraId="4B7AED53" w14:textId="77777777" w:rsidR="00302A1E" w:rsidRPr="00563718" w:rsidRDefault="00302A1E" w:rsidP="005F78EF"/>
          <w:p w14:paraId="45EF5F3F" w14:textId="77777777" w:rsidR="00302A1E" w:rsidRDefault="00302A1E" w:rsidP="005F78EF"/>
          <w:p w14:paraId="6ABA1D89" w14:textId="77777777" w:rsidR="008A5CA2" w:rsidRDefault="008A5CA2" w:rsidP="005F78EF"/>
          <w:p w14:paraId="010BEE5C" w14:textId="77777777" w:rsidR="008A5CA2" w:rsidRDefault="008A5CA2" w:rsidP="005F78EF"/>
          <w:p w14:paraId="41C3EDE1" w14:textId="77777777" w:rsidR="008A5CA2" w:rsidRDefault="008A5CA2" w:rsidP="005F78EF"/>
          <w:p w14:paraId="14899BE5" w14:textId="77777777" w:rsidR="008A5CA2" w:rsidRDefault="008A5CA2" w:rsidP="005F78EF"/>
          <w:p w14:paraId="7D8652EC" w14:textId="5B4F8F6F" w:rsidR="009D49B5" w:rsidRDefault="009D49B5" w:rsidP="005F78EF"/>
          <w:p w14:paraId="74AE3C63" w14:textId="77777777" w:rsidR="009D49B5" w:rsidRDefault="009D49B5" w:rsidP="005F78EF"/>
          <w:p w14:paraId="6694C976" w14:textId="77777777" w:rsidR="009D49B5" w:rsidRDefault="009D49B5" w:rsidP="005F78EF"/>
          <w:p w14:paraId="42A01DC5" w14:textId="77777777" w:rsidR="00A938B3" w:rsidRDefault="00A938B3" w:rsidP="005F78EF"/>
          <w:p w14:paraId="23B0FED6" w14:textId="77777777" w:rsidR="009D49B5" w:rsidRDefault="009D49B5" w:rsidP="005F78EF"/>
          <w:p w14:paraId="64AB2A84" w14:textId="49355AE3" w:rsidR="00726069" w:rsidRDefault="009D49B5" w:rsidP="005F78EF">
            <w:r>
              <w:rPr>
                <w:i/>
                <w:color w:val="1F4E79" w:themeColor="accent1" w:themeShade="80"/>
                <w:sz w:val="18"/>
                <w:szCs w:val="18"/>
              </w:rPr>
              <w:t>D</w:t>
            </w:r>
            <w:r w:rsidRPr="00726069">
              <w:rPr>
                <w:i/>
                <w:color w:val="1F4E79" w:themeColor="accent1" w:themeShade="80"/>
                <w:sz w:val="18"/>
                <w:szCs w:val="18"/>
              </w:rPr>
              <w:t>escribe the teaching and learning approach</w:t>
            </w:r>
            <w:r w:rsidR="00CC21EE">
              <w:rPr>
                <w:i/>
                <w:color w:val="1F4E79" w:themeColor="accent1" w:themeShade="80"/>
                <w:sz w:val="18"/>
                <w:szCs w:val="18"/>
              </w:rPr>
              <w:t>es</w:t>
            </w:r>
            <w:r w:rsidRPr="00726069">
              <w:rPr>
                <w:i/>
                <w:color w:val="1F4E79" w:themeColor="accent1" w:themeShade="80"/>
                <w:sz w:val="18"/>
                <w:szCs w:val="18"/>
              </w:rPr>
              <w:t xml:space="preserve"> </w:t>
            </w:r>
            <w:r w:rsidR="00CC21EE">
              <w:rPr>
                <w:i/>
                <w:color w:val="1F4E79" w:themeColor="accent1" w:themeShade="80"/>
                <w:sz w:val="18"/>
                <w:szCs w:val="18"/>
              </w:rPr>
              <w:t xml:space="preserve">to </w:t>
            </w:r>
            <w:r w:rsidRPr="00726069">
              <w:rPr>
                <w:i/>
                <w:color w:val="1F4E79" w:themeColor="accent1" w:themeShade="80"/>
                <w:sz w:val="18"/>
                <w:szCs w:val="18"/>
              </w:rPr>
              <w:t>achieve the learning outcome(s) (max. 200 words)</w:t>
            </w:r>
          </w:p>
          <w:p w14:paraId="2727F5AA" w14:textId="77777777" w:rsidR="00726069" w:rsidRDefault="00726069" w:rsidP="005F78EF"/>
          <w:p w14:paraId="1E9DB08E" w14:textId="77777777" w:rsidR="00726069" w:rsidRDefault="00726069" w:rsidP="005F78EF"/>
          <w:p w14:paraId="083F14D7" w14:textId="77777777" w:rsidR="00726069" w:rsidRDefault="00726069" w:rsidP="005F78EF"/>
          <w:p w14:paraId="0CA4ACDF" w14:textId="77777777" w:rsidR="00726069" w:rsidRDefault="00726069" w:rsidP="005F78EF"/>
          <w:p w14:paraId="57062F28" w14:textId="77777777" w:rsidR="00726069" w:rsidRDefault="00726069" w:rsidP="005F78EF"/>
          <w:p w14:paraId="1415F184" w14:textId="77777777" w:rsidR="009D49B5" w:rsidRDefault="009D49B5" w:rsidP="005F78EF"/>
          <w:p w14:paraId="28DF244E" w14:textId="77777777" w:rsidR="009D49B5" w:rsidRDefault="009D49B5" w:rsidP="005F78EF"/>
          <w:p w14:paraId="13808587" w14:textId="77777777" w:rsidR="009D49B5" w:rsidRDefault="009D49B5" w:rsidP="005F78EF"/>
          <w:p w14:paraId="448F4091" w14:textId="77777777" w:rsidR="009D49B5" w:rsidRDefault="009D49B5" w:rsidP="005F78EF"/>
          <w:p w14:paraId="46ACE12D" w14:textId="77777777" w:rsidR="009D49B5" w:rsidRDefault="009D49B5" w:rsidP="005F78EF"/>
          <w:p w14:paraId="714767C4" w14:textId="77777777" w:rsidR="009D49B5" w:rsidRDefault="009D49B5" w:rsidP="005F78EF"/>
          <w:p w14:paraId="5B64C409" w14:textId="77777777" w:rsidR="009D49B5" w:rsidRDefault="009D49B5" w:rsidP="005F78EF"/>
          <w:p w14:paraId="43C17499" w14:textId="77777777" w:rsidR="009D49B5" w:rsidRDefault="009D49B5" w:rsidP="005F78EF"/>
          <w:p w14:paraId="6FA2D790" w14:textId="77777777" w:rsidR="009D49B5" w:rsidRDefault="009D49B5" w:rsidP="005F78EF"/>
          <w:p w14:paraId="5534A22D" w14:textId="77777777" w:rsidR="009D49B5" w:rsidRDefault="009D49B5" w:rsidP="005F78EF"/>
          <w:p w14:paraId="5F3E83B8" w14:textId="77777777" w:rsidR="009D49B5" w:rsidRDefault="009D49B5" w:rsidP="005F78EF"/>
          <w:p w14:paraId="26566EFA" w14:textId="77777777" w:rsidR="009D49B5" w:rsidRDefault="009D49B5" w:rsidP="005F78EF"/>
          <w:p w14:paraId="0E391F6B" w14:textId="77777777" w:rsidR="00726069" w:rsidRDefault="00726069" w:rsidP="005F78EF"/>
          <w:p w14:paraId="7917657C" w14:textId="77777777" w:rsidR="00726069" w:rsidRDefault="00726069" w:rsidP="005F78EF"/>
          <w:p w14:paraId="12C397EF" w14:textId="77777777" w:rsidR="00726069" w:rsidRDefault="00726069" w:rsidP="005F78EF"/>
          <w:p w14:paraId="6ACAD06F" w14:textId="77777777" w:rsidR="00726069" w:rsidRDefault="00726069" w:rsidP="005F78EF"/>
          <w:p w14:paraId="6210E47E" w14:textId="77777777" w:rsidR="00726069" w:rsidRDefault="00726069" w:rsidP="005F78EF"/>
          <w:p w14:paraId="5E672C44" w14:textId="77777777" w:rsidR="00726069" w:rsidRDefault="00726069" w:rsidP="005F78EF"/>
          <w:p w14:paraId="7973982E" w14:textId="77777777" w:rsidR="00726069" w:rsidRDefault="00726069" w:rsidP="005F78EF"/>
          <w:p w14:paraId="1D185A4D" w14:textId="77777777" w:rsidR="00726069" w:rsidRDefault="00726069" w:rsidP="005F78EF"/>
          <w:p w14:paraId="07C9FD62" w14:textId="77777777" w:rsidR="00726069" w:rsidRDefault="00726069" w:rsidP="005F78EF"/>
          <w:p w14:paraId="5529C8BC" w14:textId="77777777" w:rsidR="00726069" w:rsidRDefault="00726069" w:rsidP="005F78EF"/>
          <w:p w14:paraId="6CEE419D" w14:textId="77777777" w:rsidR="00302A1E" w:rsidRPr="00563718" w:rsidRDefault="00302A1E" w:rsidP="005F78EF"/>
        </w:tc>
      </w:tr>
    </w:tbl>
    <w:p w14:paraId="2402429C" w14:textId="5B64D7B3" w:rsidR="009D49B5" w:rsidRDefault="009D49B5">
      <w:pPr>
        <w:rPr>
          <w:b/>
          <w:color w:val="1F4E79" w:themeColor="accent1" w:themeShade="80"/>
        </w:rPr>
      </w:pPr>
      <w:r>
        <w:rPr>
          <w:b/>
          <w:color w:val="1F4E79" w:themeColor="accent1" w:themeShade="80"/>
        </w:rPr>
        <w:br w:type="page"/>
      </w:r>
    </w:p>
    <w:p w14:paraId="03448B02" w14:textId="36B85CD7" w:rsidR="004018F1" w:rsidRPr="00BD409C" w:rsidRDefault="009D49B5" w:rsidP="00BD409C">
      <w:pPr>
        <w:spacing w:after="0"/>
        <w:rPr>
          <w:b/>
          <w:color w:val="1F4E79" w:themeColor="accent1" w:themeShade="80"/>
          <w:sz w:val="26"/>
          <w:szCs w:val="26"/>
        </w:rPr>
      </w:pPr>
      <w:r>
        <w:rPr>
          <w:b/>
          <w:color w:val="1F4E79" w:themeColor="accent1" w:themeShade="80"/>
          <w:sz w:val="26"/>
          <w:szCs w:val="26"/>
        </w:rPr>
        <w:lastRenderedPageBreak/>
        <w:t>3</w:t>
      </w:r>
      <w:r w:rsidR="00BD409C">
        <w:rPr>
          <w:b/>
          <w:color w:val="1F4E79" w:themeColor="accent1" w:themeShade="80"/>
          <w:sz w:val="26"/>
          <w:szCs w:val="26"/>
        </w:rPr>
        <w:t xml:space="preserve">. </w:t>
      </w:r>
      <w:r w:rsidR="00BD409C">
        <w:rPr>
          <w:b/>
          <w:color w:val="1F4E79" w:themeColor="accent1" w:themeShade="80"/>
          <w:sz w:val="26"/>
          <w:szCs w:val="26"/>
        </w:rPr>
        <w:tab/>
      </w:r>
      <w:r w:rsidRPr="00BD409C">
        <w:rPr>
          <w:b/>
          <w:color w:val="1F4E79" w:themeColor="accent1" w:themeShade="80"/>
          <w:sz w:val="26"/>
          <w:szCs w:val="26"/>
        </w:rPr>
        <w:t>Entrepreneurship key competence</w:t>
      </w:r>
      <w:r>
        <w:rPr>
          <w:b/>
          <w:color w:val="1F4E79" w:themeColor="accent1" w:themeShade="80"/>
          <w:sz w:val="26"/>
          <w:szCs w:val="26"/>
        </w:rPr>
        <w:t>s ‘Resources’ and ‘Into Action’</w:t>
      </w:r>
    </w:p>
    <w:tbl>
      <w:tblPr>
        <w:tblStyle w:val="TableGrid"/>
        <w:tblW w:w="0" w:type="auto"/>
        <w:tblLook w:val="04A0" w:firstRow="1" w:lastRow="0" w:firstColumn="1" w:lastColumn="0" w:noHBand="0" w:noVBand="1"/>
      </w:tblPr>
      <w:tblGrid>
        <w:gridCol w:w="9016"/>
      </w:tblGrid>
      <w:tr w:rsidR="004018F1" w:rsidRPr="00563718" w14:paraId="311E72CC" w14:textId="77777777" w:rsidTr="004018F1">
        <w:tc>
          <w:tcPr>
            <w:tcW w:w="9016" w:type="dxa"/>
          </w:tcPr>
          <w:p w14:paraId="6C162F76" w14:textId="487A5F96" w:rsidR="009D49B5" w:rsidRDefault="003A4337" w:rsidP="009D49B5">
            <w:pPr>
              <w:rPr>
                <w:i/>
                <w:color w:val="1F4E79" w:themeColor="accent1" w:themeShade="80"/>
                <w:sz w:val="18"/>
                <w:szCs w:val="18"/>
              </w:rPr>
            </w:pPr>
            <w:r>
              <w:rPr>
                <w:i/>
                <w:color w:val="1F4E79" w:themeColor="accent1" w:themeShade="80"/>
                <w:sz w:val="18"/>
                <w:szCs w:val="18"/>
              </w:rPr>
              <w:t>S</w:t>
            </w:r>
            <w:r w:rsidR="009D49B5">
              <w:rPr>
                <w:i/>
                <w:color w:val="1F4E79" w:themeColor="accent1" w:themeShade="80"/>
                <w:sz w:val="18"/>
                <w:szCs w:val="18"/>
              </w:rPr>
              <w:t xml:space="preserve">tate </w:t>
            </w:r>
            <w:r>
              <w:rPr>
                <w:i/>
                <w:color w:val="1F4E79" w:themeColor="accent1" w:themeShade="80"/>
                <w:sz w:val="18"/>
                <w:szCs w:val="18"/>
              </w:rPr>
              <w:t>the</w:t>
            </w:r>
            <w:r w:rsidR="009D49B5">
              <w:rPr>
                <w:i/>
                <w:color w:val="1F4E79" w:themeColor="accent1" w:themeShade="80"/>
                <w:sz w:val="18"/>
                <w:szCs w:val="18"/>
              </w:rPr>
              <w:t xml:space="preserve"> competences you promote which specifically reflect those falling under EntreComp ‘Resources’ and/or ‘Into Action’ competence areas.</w:t>
            </w:r>
          </w:p>
          <w:p w14:paraId="2A27ABE4" w14:textId="77777777" w:rsidR="009D49B5" w:rsidRDefault="009D49B5" w:rsidP="009D49B5">
            <w:pPr>
              <w:rPr>
                <w:i/>
                <w:color w:val="1F4E79" w:themeColor="accent1" w:themeShade="80"/>
                <w:sz w:val="18"/>
                <w:szCs w:val="18"/>
              </w:rPr>
            </w:pPr>
          </w:p>
          <w:p w14:paraId="1EF97B94" w14:textId="77777777" w:rsidR="009D49B5" w:rsidRDefault="009D49B5" w:rsidP="00302A1E">
            <w:pPr>
              <w:rPr>
                <w:i/>
                <w:color w:val="1F4E79" w:themeColor="accent1" w:themeShade="80"/>
                <w:sz w:val="18"/>
                <w:szCs w:val="18"/>
              </w:rPr>
            </w:pPr>
          </w:p>
          <w:p w14:paraId="6BAD229F" w14:textId="77777777" w:rsidR="009D49B5" w:rsidRDefault="009D49B5" w:rsidP="00302A1E">
            <w:pPr>
              <w:rPr>
                <w:i/>
                <w:color w:val="1F4E79" w:themeColor="accent1" w:themeShade="80"/>
                <w:sz w:val="18"/>
                <w:szCs w:val="18"/>
              </w:rPr>
            </w:pPr>
          </w:p>
          <w:p w14:paraId="19B1D29D" w14:textId="13B34DEC" w:rsidR="003A4337" w:rsidRDefault="003A4337" w:rsidP="00302A1E">
            <w:pPr>
              <w:rPr>
                <w:i/>
                <w:color w:val="1F4E79" w:themeColor="accent1" w:themeShade="80"/>
                <w:sz w:val="18"/>
                <w:szCs w:val="18"/>
              </w:rPr>
            </w:pPr>
          </w:p>
          <w:p w14:paraId="6E281B7C" w14:textId="77777777" w:rsidR="003A4337" w:rsidRDefault="003A4337" w:rsidP="00302A1E">
            <w:pPr>
              <w:rPr>
                <w:i/>
                <w:color w:val="1F4E79" w:themeColor="accent1" w:themeShade="80"/>
                <w:sz w:val="18"/>
                <w:szCs w:val="18"/>
              </w:rPr>
            </w:pPr>
          </w:p>
          <w:p w14:paraId="57308344" w14:textId="77777777" w:rsidR="003A4337" w:rsidRDefault="003A4337" w:rsidP="00302A1E">
            <w:pPr>
              <w:rPr>
                <w:i/>
                <w:color w:val="1F4E79" w:themeColor="accent1" w:themeShade="80"/>
                <w:sz w:val="18"/>
                <w:szCs w:val="18"/>
              </w:rPr>
            </w:pPr>
          </w:p>
          <w:p w14:paraId="2029D4DA" w14:textId="77777777" w:rsidR="003A4337" w:rsidRDefault="003A4337" w:rsidP="00302A1E">
            <w:pPr>
              <w:rPr>
                <w:i/>
                <w:color w:val="1F4E79" w:themeColor="accent1" w:themeShade="80"/>
                <w:sz w:val="18"/>
                <w:szCs w:val="18"/>
              </w:rPr>
            </w:pPr>
          </w:p>
          <w:p w14:paraId="71D8C48A" w14:textId="77777777" w:rsidR="003A4337" w:rsidRDefault="003A4337" w:rsidP="00302A1E">
            <w:pPr>
              <w:rPr>
                <w:i/>
                <w:color w:val="1F4E79" w:themeColor="accent1" w:themeShade="80"/>
                <w:sz w:val="18"/>
                <w:szCs w:val="18"/>
              </w:rPr>
            </w:pPr>
          </w:p>
          <w:p w14:paraId="36EC0321" w14:textId="77777777" w:rsidR="003A4337" w:rsidRDefault="003A4337" w:rsidP="00302A1E">
            <w:pPr>
              <w:rPr>
                <w:i/>
                <w:color w:val="1F4E79" w:themeColor="accent1" w:themeShade="80"/>
                <w:sz w:val="18"/>
                <w:szCs w:val="18"/>
              </w:rPr>
            </w:pPr>
          </w:p>
          <w:p w14:paraId="77957C94" w14:textId="640695C9" w:rsidR="00302A1E" w:rsidRPr="00726069" w:rsidRDefault="00726069" w:rsidP="00302A1E">
            <w:pPr>
              <w:rPr>
                <w:i/>
                <w:color w:val="1F4E79" w:themeColor="accent1" w:themeShade="80"/>
                <w:sz w:val="18"/>
                <w:szCs w:val="18"/>
              </w:rPr>
            </w:pPr>
            <w:r>
              <w:rPr>
                <w:i/>
                <w:color w:val="1F4E79" w:themeColor="accent1" w:themeShade="80"/>
                <w:sz w:val="18"/>
                <w:szCs w:val="18"/>
              </w:rPr>
              <w:t>P</w:t>
            </w:r>
            <w:r w:rsidR="00302A1E" w:rsidRPr="00726069">
              <w:rPr>
                <w:i/>
                <w:color w:val="1F4E79" w:themeColor="accent1" w:themeShade="80"/>
                <w:sz w:val="18"/>
                <w:szCs w:val="18"/>
              </w:rPr>
              <w:t>rovide an example(s) of a learning outcome</w:t>
            </w:r>
            <w:r w:rsidR="00BD5C79" w:rsidRPr="00726069">
              <w:rPr>
                <w:i/>
                <w:color w:val="1F4E79" w:themeColor="accent1" w:themeShade="80"/>
                <w:sz w:val="18"/>
                <w:szCs w:val="18"/>
              </w:rPr>
              <w:t>(s)</w:t>
            </w:r>
            <w:r w:rsidR="00302A1E" w:rsidRPr="00726069">
              <w:rPr>
                <w:i/>
                <w:color w:val="1F4E79" w:themeColor="accent1" w:themeShade="80"/>
                <w:sz w:val="18"/>
                <w:szCs w:val="18"/>
              </w:rPr>
              <w:t xml:space="preserve"> for the competence(s) chosen (max. 100 words) </w:t>
            </w:r>
          </w:p>
          <w:p w14:paraId="75D6B532" w14:textId="77777777" w:rsidR="00302A1E" w:rsidRPr="0046605A" w:rsidRDefault="00302A1E" w:rsidP="005F78EF">
            <w:pPr>
              <w:rPr>
                <w:i/>
                <w:color w:val="1F4E79" w:themeColor="accent1" w:themeShade="80"/>
              </w:rPr>
            </w:pPr>
          </w:p>
          <w:p w14:paraId="48F240A4" w14:textId="77777777" w:rsidR="00302A1E" w:rsidRPr="0046605A" w:rsidRDefault="00302A1E" w:rsidP="005F78EF">
            <w:pPr>
              <w:rPr>
                <w:i/>
                <w:color w:val="1F4E79" w:themeColor="accent1" w:themeShade="80"/>
              </w:rPr>
            </w:pPr>
          </w:p>
          <w:p w14:paraId="10A6A8A0" w14:textId="77777777" w:rsidR="00302A1E" w:rsidRPr="0046605A" w:rsidRDefault="00302A1E" w:rsidP="005F78EF">
            <w:pPr>
              <w:rPr>
                <w:i/>
                <w:color w:val="1F4E79" w:themeColor="accent1" w:themeShade="80"/>
              </w:rPr>
            </w:pPr>
          </w:p>
          <w:p w14:paraId="649FBBD1" w14:textId="77777777" w:rsidR="00302A1E" w:rsidRPr="0046605A" w:rsidRDefault="00302A1E" w:rsidP="005F78EF">
            <w:pPr>
              <w:rPr>
                <w:i/>
                <w:color w:val="1F4E79" w:themeColor="accent1" w:themeShade="80"/>
              </w:rPr>
            </w:pPr>
          </w:p>
          <w:p w14:paraId="5EF53BE2" w14:textId="77777777" w:rsidR="00021F8A" w:rsidRPr="0046605A" w:rsidRDefault="00021F8A" w:rsidP="005F78EF">
            <w:pPr>
              <w:rPr>
                <w:i/>
                <w:color w:val="1F4E79" w:themeColor="accent1" w:themeShade="80"/>
              </w:rPr>
            </w:pPr>
          </w:p>
          <w:p w14:paraId="010729B8" w14:textId="77777777" w:rsidR="00021F8A" w:rsidRPr="0046605A" w:rsidRDefault="00021F8A" w:rsidP="005F78EF">
            <w:pPr>
              <w:rPr>
                <w:i/>
                <w:color w:val="1F4E79" w:themeColor="accent1" w:themeShade="80"/>
              </w:rPr>
            </w:pPr>
          </w:p>
          <w:p w14:paraId="0AD81871" w14:textId="77777777" w:rsidR="00021F8A" w:rsidRPr="0046605A" w:rsidRDefault="00021F8A" w:rsidP="005F78EF">
            <w:pPr>
              <w:rPr>
                <w:i/>
                <w:color w:val="1F4E79" w:themeColor="accent1" w:themeShade="80"/>
              </w:rPr>
            </w:pPr>
          </w:p>
          <w:p w14:paraId="1F2E5B0E" w14:textId="77777777" w:rsidR="00021F8A" w:rsidRPr="0046605A" w:rsidRDefault="00021F8A" w:rsidP="005F78EF">
            <w:pPr>
              <w:rPr>
                <w:i/>
                <w:color w:val="1F4E79" w:themeColor="accent1" w:themeShade="80"/>
              </w:rPr>
            </w:pPr>
          </w:p>
          <w:p w14:paraId="5067E94F" w14:textId="77777777" w:rsidR="00302A1E" w:rsidRPr="0046605A" w:rsidRDefault="00302A1E" w:rsidP="005F78EF">
            <w:pPr>
              <w:rPr>
                <w:i/>
                <w:color w:val="1F4E79" w:themeColor="accent1" w:themeShade="80"/>
              </w:rPr>
            </w:pPr>
          </w:p>
          <w:p w14:paraId="3D6E6D41" w14:textId="77777777" w:rsidR="00021F8A" w:rsidRPr="0046605A" w:rsidRDefault="00021F8A" w:rsidP="005F78EF">
            <w:pPr>
              <w:rPr>
                <w:i/>
                <w:color w:val="1F4E79" w:themeColor="accent1" w:themeShade="80"/>
              </w:rPr>
            </w:pPr>
          </w:p>
          <w:p w14:paraId="506227D6" w14:textId="77777777" w:rsidR="00021F8A" w:rsidRDefault="00021F8A" w:rsidP="005F78EF">
            <w:pPr>
              <w:rPr>
                <w:i/>
                <w:color w:val="1F4E79" w:themeColor="accent1" w:themeShade="80"/>
              </w:rPr>
            </w:pPr>
          </w:p>
          <w:p w14:paraId="40151967" w14:textId="0F081EC8" w:rsidR="00726069" w:rsidRDefault="00726069" w:rsidP="005F78EF">
            <w:pPr>
              <w:rPr>
                <w:i/>
                <w:color w:val="1F4E79" w:themeColor="accent1" w:themeShade="80"/>
              </w:rPr>
            </w:pPr>
          </w:p>
          <w:p w14:paraId="609F12AF" w14:textId="7DCEDF57" w:rsidR="004018F1" w:rsidRPr="00726069" w:rsidRDefault="00726069" w:rsidP="005F78EF">
            <w:pPr>
              <w:rPr>
                <w:i/>
                <w:color w:val="1F4E79" w:themeColor="accent1" w:themeShade="80"/>
                <w:sz w:val="18"/>
                <w:szCs w:val="18"/>
              </w:rPr>
            </w:pPr>
            <w:r>
              <w:rPr>
                <w:i/>
                <w:color w:val="1F4E79" w:themeColor="accent1" w:themeShade="80"/>
                <w:sz w:val="18"/>
                <w:szCs w:val="18"/>
              </w:rPr>
              <w:t>D</w:t>
            </w:r>
            <w:r w:rsidR="004018F1" w:rsidRPr="00726069">
              <w:rPr>
                <w:i/>
                <w:color w:val="1F4E79" w:themeColor="accent1" w:themeShade="80"/>
                <w:sz w:val="18"/>
                <w:szCs w:val="18"/>
              </w:rPr>
              <w:t>escribe the teaching and learning approach</w:t>
            </w:r>
            <w:r w:rsidR="00CC21EE">
              <w:rPr>
                <w:i/>
                <w:color w:val="1F4E79" w:themeColor="accent1" w:themeShade="80"/>
                <w:sz w:val="18"/>
                <w:szCs w:val="18"/>
              </w:rPr>
              <w:t>es</w:t>
            </w:r>
            <w:r w:rsidR="00BD5C79" w:rsidRPr="00726069">
              <w:rPr>
                <w:i/>
                <w:color w:val="1F4E79" w:themeColor="accent1" w:themeShade="80"/>
                <w:sz w:val="18"/>
                <w:szCs w:val="18"/>
              </w:rPr>
              <w:t xml:space="preserve"> </w:t>
            </w:r>
            <w:r w:rsidR="00CC21EE">
              <w:rPr>
                <w:i/>
                <w:color w:val="1F4E79" w:themeColor="accent1" w:themeShade="80"/>
                <w:sz w:val="18"/>
                <w:szCs w:val="18"/>
              </w:rPr>
              <w:t xml:space="preserve">to </w:t>
            </w:r>
            <w:r w:rsidR="00BD5C79" w:rsidRPr="00726069">
              <w:rPr>
                <w:i/>
                <w:color w:val="1F4E79" w:themeColor="accent1" w:themeShade="80"/>
                <w:sz w:val="18"/>
                <w:szCs w:val="18"/>
              </w:rPr>
              <w:t>achieve the learning outcome(s)</w:t>
            </w:r>
            <w:r w:rsidR="004018F1" w:rsidRPr="00726069">
              <w:rPr>
                <w:i/>
                <w:color w:val="1F4E79" w:themeColor="accent1" w:themeShade="80"/>
                <w:sz w:val="18"/>
                <w:szCs w:val="18"/>
              </w:rPr>
              <w:t xml:space="preserve"> (max. 200 words)</w:t>
            </w:r>
          </w:p>
          <w:p w14:paraId="519CAA86" w14:textId="77777777" w:rsidR="00021F8A" w:rsidRPr="00563718" w:rsidRDefault="00021F8A" w:rsidP="005F78EF">
            <w:pPr>
              <w:rPr>
                <w:i/>
              </w:rPr>
            </w:pPr>
          </w:p>
          <w:p w14:paraId="0246C68D" w14:textId="77777777" w:rsidR="00021F8A" w:rsidRPr="00563718" w:rsidRDefault="00021F8A" w:rsidP="005F78EF">
            <w:pPr>
              <w:rPr>
                <w:i/>
              </w:rPr>
            </w:pPr>
          </w:p>
          <w:p w14:paraId="703BC9F7" w14:textId="77777777" w:rsidR="00021F8A" w:rsidRPr="00563718" w:rsidRDefault="00021F8A" w:rsidP="005F78EF">
            <w:pPr>
              <w:rPr>
                <w:i/>
              </w:rPr>
            </w:pPr>
          </w:p>
          <w:p w14:paraId="40BFF228" w14:textId="77777777" w:rsidR="00021F8A" w:rsidRPr="00563718" w:rsidRDefault="00021F8A" w:rsidP="005F78EF">
            <w:pPr>
              <w:rPr>
                <w:i/>
              </w:rPr>
            </w:pPr>
          </w:p>
          <w:p w14:paraId="1EB9C8D1" w14:textId="77777777" w:rsidR="00021F8A" w:rsidRPr="00563718" w:rsidRDefault="00021F8A" w:rsidP="005F78EF">
            <w:pPr>
              <w:rPr>
                <w:i/>
              </w:rPr>
            </w:pPr>
          </w:p>
          <w:p w14:paraId="5859BD0F" w14:textId="77777777" w:rsidR="00021F8A" w:rsidRPr="00563718" w:rsidRDefault="00021F8A" w:rsidP="005F78EF">
            <w:pPr>
              <w:rPr>
                <w:i/>
              </w:rPr>
            </w:pPr>
          </w:p>
          <w:p w14:paraId="05B6DF11" w14:textId="77777777" w:rsidR="004018F1" w:rsidRPr="00563718" w:rsidRDefault="004018F1" w:rsidP="005F78EF"/>
          <w:p w14:paraId="539830E5" w14:textId="77777777" w:rsidR="004018F1" w:rsidRPr="00563718" w:rsidRDefault="004018F1" w:rsidP="005F78EF"/>
          <w:p w14:paraId="109890FE" w14:textId="77777777" w:rsidR="004018F1" w:rsidRPr="00563718" w:rsidRDefault="004018F1" w:rsidP="005F78EF"/>
          <w:p w14:paraId="47FF24E8" w14:textId="77777777" w:rsidR="004018F1" w:rsidRPr="00563718" w:rsidRDefault="004018F1" w:rsidP="005F78EF"/>
          <w:p w14:paraId="2237C0CF" w14:textId="77777777" w:rsidR="004018F1" w:rsidRPr="00563718" w:rsidRDefault="004018F1" w:rsidP="00302A1E">
            <w:pPr>
              <w:spacing w:after="160" w:line="259" w:lineRule="auto"/>
            </w:pPr>
          </w:p>
          <w:p w14:paraId="4FEC8796" w14:textId="77777777" w:rsidR="004018F1" w:rsidRPr="00563718" w:rsidRDefault="004018F1" w:rsidP="005F78EF"/>
          <w:p w14:paraId="401A5CC9" w14:textId="77777777" w:rsidR="004018F1" w:rsidRPr="00563718" w:rsidRDefault="004018F1" w:rsidP="005F78EF"/>
          <w:p w14:paraId="4E6655F3" w14:textId="77777777" w:rsidR="004018F1" w:rsidRPr="00563718" w:rsidRDefault="004018F1" w:rsidP="005F78EF"/>
          <w:p w14:paraId="46FC1754" w14:textId="77777777" w:rsidR="004018F1" w:rsidRPr="00563718" w:rsidRDefault="004018F1" w:rsidP="004018F1"/>
          <w:p w14:paraId="5017D95E" w14:textId="77777777" w:rsidR="00302A1E" w:rsidRPr="00563718" w:rsidRDefault="00302A1E" w:rsidP="004018F1"/>
          <w:p w14:paraId="3DFABB8C" w14:textId="77777777" w:rsidR="00302A1E" w:rsidRPr="00563718" w:rsidRDefault="00302A1E" w:rsidP="004018F1"/>
          <w:p w14:paraId="56F9BFE0" w14:textId="77777777" w:rsidR="00021F8A" w:rsidRPr="00563718" w:rsidRDefault="00021F8A" w:rsidP="004018F1"/>
          <w:p w14:paraId="4642E24B" w14:textId="77777777" w:rsidR="00021F8A" w:rsidRDefault="00021F8A" w:rsidP="004018F1"/>
          <w:p w14:paraId="0EF042FF" w14:textId="77777777" w:rsidR="00CD52C5" w:rsidRDefault="00CD52C5" w:rsidP="004018F1"/>
          <w:p w14:paraId="3246EBC2" w14:textId="77777777" w:rsidR="00CD52C5" w:rsidRDefault="00CD52C5" w:rsidP="004018F1"/>
          <w:p w14:paraId="69A30AF7" w14:textId="77777777" w:rsidR="00BF69D6" w:rsidRDefault="00BF69D6" w:rsidP="004018F1"/>
          <w:p w14:paraId="64154CD9" w14:textId="77777777" w:rsidR="00CD52C5" w:rsidRDefault="00CD52C5" w:rsidP="004018F1"/>
          <w:p w14:paraId="2EE883C4" w14:textId="77777777" w:rsidR="00BF69D6" w:rsidRDefault="00BF69D6" w:rsidP="004018F1"/>
          <w:p w14:paraId="20320503" w14:textId="77777777" w:rsidR="00CD52C5" w:rsidRDefault="00CD52C5" w:rsidP="004018F1"/>
          <w:p w14:paraId="39F7184F" w14:textId="77777777" w:rsidR="00CD52C5" w:rsidRDefault="00CD52C5" w:rsidP="004018F1"/>
          <w:p w14:paraId="4BDC2C88" w14:textId="6052B458" w:rsidR="009D49B5" w:rsidRDefault="009D49B5" w:rsidP="004018F1"/>
          <w:p w14:paraId="10EEB83B" w14:textId="6D4EFD48" w:rsidR="001B1A30" w:rsidRPr="00563718" w:rsidRDefault="001B1A30" w:rsidP="009D49B5"/>
        </w:tc>
      </w:tr>
    </w:tbl>
    <w:p w14:paraId="204FA69B" w14:textId="77777777" w:rsidR="00D345F4" w:rsidRPr="00D345F4" w:rsidRDefault="00D345F4" w:rsidP="00D345F4">
      <w:pPr>
        <w:spacing w:after="0"/>
        <w:rPr>
          <w:b/>
          <w:color w:val="1F4E79" w:themeColor="accent1" w:themeShade="80"/>
          <w:sz w:val="26"/>
          <w:szCs w:val="26"/>
        </w:rPr>
      </w:pPr>
    </w:p>
    <w:p w14:paraId="6F838087" w14:textId="22CC9C79" w:rsidR="009D49B5" w:rsidRDefault="00D345F4" w:rsidP="00D345F4">
      <w:r>
        <w:t xml:space="preserve"> </w:t>
      </w:r>
      <w:r w:rsidR="009D49B5">
        <w:br w:type="page"/>
      </w:r>
    </w:p>
    <w:p w14:paraId="4DE4AD37" w14:textId="77777777" w:rsidR="00CC21EE" w:rsidRPr="00CC21EE" w:rsidRDefault="00CC21EE" w:rsidP="00CC21EE">
      <w:pPr>
        <w:rPr>
          <w:b/>
          <w:color w:val="1F4E79" w:themeColor="accent1" w:themeShade="80"/>
          <w:sz w:val="32"/>
          <w:szCs w:val="32"/>
        </w:rPr>
      </w:pPr>
      <w:r w:rsidRPr="00CC21EE">
        <w:rPr>
          <w:b/>
          <w:color w:val="1F4E79" w:themeColor="accent1" w:themeShade="80"/>
          <w:sz w:val="32"/>
          <w:szCs w:val="32"/>
        </w:rPr>
        <w:lastRenderedPageBreak/>
        <w:t>ANNEX 1 – Overview of EntreComp Competences</w:t>
      </w:r>
    </w:p>
    <w:tbl>
      <w:tblPr>
        <w:tblStyle w:val="GridTable5Dark-Accent5"/>
        <w:tblW w:w="0" w:type="auto"/>
        <w:tblLook w:val="04A0" w:firstRow="1" w:lastRow="0" w:firstColumn="1" w:lastColumn="0" w:noHBand="0" w:noVBand="1"/>
      </w:tblPr>
      <w:tblGrid>
        <w:gridCol w:w="2689"/>
        <w:gridCol w:w="6491"/>
      </w:tblGrid>
      <w:tr w:rsidR="00CC21EE" w14:paraId="0044669E" w14:textId="77777777" w:rsidTr="00410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single" w:sz="4" w:space="0" w:color="FFFFFF" w:themeColor="background1"/>
              <w:right w:val="single" w:sz="4" w:space="0" w:color="FFFFFF" w:themeColor="background1"/>
            </w:tcBorders>
            <w:shd w:val="clear" w:color="auto" w:fill="2208BC"/>
            <w:vAlign w:val="center"/>
          </w:tcPr>
          <w:p w14:paraId="23C94B59" w14:textId="77777777" w:rsidR="00CC21EE" w:rsidRPr="003125E2" w:rsidRDefault="00CC21EE" w:rsidP="0041061A">
            <w:pPr>
              <w:jc w:val="center"/>
              <w:rPr>
                <w:sz w:val="34"/>
                <w:szCs w:val="34"/>
              </w:rPr>
            </w:pPr>
            <w:r w:rsidRPr="003125E2">
              <w:rPr>
                <w:i/>
                <w:sz w:val="34"/>
                <w:szCs w:val="34"/>
              </w:rPr>
              <w:t>Competence Area</w:t>
            </w:r>
          </w:p>
        </w:tc>
        <w:tc>
          <w:tcPr>
            <w:tcW w:w="6491" w:type="dxa"/>
            <w:tcBorders>
              <w:left w:val="single" w:sz="4" w:space="0" w:color="FFFFFF" w:themeColor="background1"/>
              <w:bottom w:val="single" w:sz="4" w:space="0" w:color="FFFFFF" w:themeColor="background1"/>
            </w:tcBorders>
            <w:shd w:val="clear" w:color="auto" w:fill="2208BC"/>
            <w:vAlign w:val="center"/>
          </w:tcPr>
          <w:p w14:paraId="7C5C6966" w14:textId="77777777" w:rsidR="00CC21EE" w:rsidRPr="003125E2" w:rsidRDefault="00CC21EE" w:rsidP="0041061A">
            <w:pPr>
              <w:spacing w:before="120" w:after="120"/>
              <w:jc w:val="center"/>
              <w:cnfStyle w:val="100000000000" w:firstRow="1" w:lastRow="0" w:firstColumn="0" w:lastColumn="0" w:oddVBand="0" w:evenVBand="0" w:oddHBand="0" w:evenHBand="0" w:firstRowFirstColumn="0" w:firstRowLastColumn="0" w:lastRowFirstColumn="0" w:lastRowLastColumn="0"/>
              <w:rPr>
                <w:i/>
                <w:sz w:val="34"/>
                <w:szCs w:val="34"/>
              </w:rPr>
            </w:pPr>
            <w:r w:rsidRPr="003125E2">
              <w:rPr>
                <w:i/>
                <w:sz w:val="34"/>
                <w:szCs w:val="34"/>
              </w:rPr>
              <w:t>Competences</w:t>
            </w:r>
          </w:p>
        </w:tc>
      </w:tr>
      <w:tr w:rsidR="00CC21EE" w14:paraId="733C1A06" w14:textId="77777777" w:rsidTr="0041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val="restart"/>
            <w:tcBorders>
              <w:top w:val="single" w:sz="4" w:space="0" w:color="FFFFFF" w:themeColor="background1"/>
            </w:tcBorders>
            <w:shd w:val="clear" w:color="auto" w:fill="2208BC"/>
            <w:vAlign w:val="center"/>
          </w:tcPr>
          <w:p w14:paraId="5B2178EA" w14:textId="77777777" w:rsidR="00CC21EE" w:rsidRDefault="00CC21EE" w:rsidP="0041061A">
            <w:pPr>
              <w:jc w:val="center"/>
              <w:rPr>
                <w:sz w:val="32"/>
                <w:szCs w:val="32"/>
              </w:rPr>
            </w:pPr>
            <w:r w:rsidRPr="00CC21EE">
              <w:rPr>
                <w:sz w:val="32"/>
                <w:szCs w:val="32"/>
              </w:rPr>
              <w:t xml:space="preserve">Ideas </w:t>
            </w:r>
          </w:p>
          <w:p w14:paraId="2E2887B8" w14:textId="77777777" w:rsidR="00CC21EE" w:rsidRDefault="00CC21EE" w:rsidP="0041061A">
            <w:pPr>
              <w:jc w:val="center"/>
              <w:rPr>
                <w:sz w:val="32"/>
                <w:szCs w:val="32"/>
              </w:rPr>
            </w:pPr>
            <w:r w:rsidRPr="00CC21EE">
              <w:rPr>
                <w:sz w:val="32"/>
                <w:szCs w:val="32"/>
              </w:rPr>
              <w:t xml:space="preserve">and </w:t>
            </w:r>
          </w:p>
          <w:p w14:paraId="63EB767B" w14:textId="77777777" w:rsidR="00CC21EE" w:rsidRPr="00CC21EE" w:rsidRDefault="00CC21EE" w:rsidP="0041061A">
            <w:pPr>
              <w:jc w:val="center"/>
              <w:rPr>
                <w:sz w:val="32"/>
                <w:szCs w:val="32"/>
              </w:rPr>
            </w:pPr>
            <w:r w:rsidRPr="00CC21EE">
              <w:rPr>
                <w:sz w:val="32"/>
                <w:szCs w:val="32"/>
              </w:rPr>
              <w:t>opportunities</w:t>
            </w:r>
          </w:p>
        </w:tc>
        <w:tc>
          <w:tcPr>
            <w:tcW w:w="6491" w:type="dxa"/>
            <w:tcBorders>
              <w:top w:val="single" w:sz="4" w:space="0" w:color="FFFFFF" w:themeColor="background1"/>
            </w:tcBorders>
            <w:vAlign w:val="center"/>
          </w:tcPr>
          <w:p w14:paraId="5B2D4850" w14:textId="47AFA0EE" w:rsidR="003125E2" w:rsidRPr="003125E2" w:rsidRDefault="00CC21EE" w:rsidP="003125E2">
            <w:pPr>
              <w:spacing w:after="400"/>
              <w:jc w:val="center"/>
              <w:cnfStyle w:val="000000100000" w:firstRow="0" w:lastRow="0" w:firstColumn="0" w:lastColumn="0" w:oddVBand="0" w:evenVBand="0" w:oddHBand="1" w:evenHBand="0" w:firstRowFirstColumn="0" w:firstRowLastColumn="0" w:lastRowFirstColumn="0" w:lastRowLastColumn="0"/>
              <w:rPr>
                <w:sz w:val="32"/>
                <w:szCs w:val="32"/>
              </w:rPr>
            </w:pPr>
            <w:r w:rsidRPr="003125E2">
              <w:rPr>
                <w:sz w:val="32"/>
                <w:szCs w:val="32"/>
              </w:rPr>
              <w:t>Spotting opportunities</w:t>
            </w:r>
          </w:p>
        </w:tc>
      </w:tr>
      <w:tr w:rsidR="00CC21EE" w14:paraId="0BCC1784" w14:textId="77777777" w:rsidTr="0041061A">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63BF46C6" w14:textId="77777777" w:rsidR="00CC21EE" w:rsidRPr="00CC21EE" w:rsidRDefault="00CC21EE" w:rsidP="0041061A">
            <w:pPr>
              <w:jc w:val="center"/>
              <w:rPr>
                <w:sz w:val="32"/>
                <w:szCs w:val="32"/>
              </w:rPr>
            </w:pPr>
          </w:p>
        </w:tc>
        <w:tc>
          <w:tcPr>
            <w:tcW w:w="6491" w:type="dxa"/>
            <w:vAlign w:val="center"/>
          </w:tcPr>
          <w:p w14:paraId="3C0AF7AA" w14:textId="47458426" w:rsidR="003125E2" w:rsidRPr="003125E2" w:rsidRDefault="00CC21EE" w:rsidP="003125E2">
            <w:pPr>
              <w:spacing w:after="400"/>
              <w:jc w:val="center"/>
              <w:cnfStyle w:val="000000000000" w:firstRow="0" w:lastRow="0" w:firstColumn="0" w:lastColumn="0" w:oddVBand="0" w:evenVBand="0" w:oddHBand="0" w:evenHBand="0" w:firstRowFirstColumn="0" w:firstRowLastColumn="0" w:lastRowFirstColumn="0" w:lastRowLastColumn="0"/>
              <w:rPr>
                <w:sz w:val="32"/>
                <w:szCs w:val="32"/>
              </w:rPr>
            </w:pPr>
            <w:r w:rsidRPr="003125E2">
              <w:rPr>
                <w:sz w:val="32"/>
                <w:szCs w:val="32"/>
              </w:rPr>
              <w:t>Creativity</w:t>
            </w:r>
          </w:p>
        </w:tc>
      </w:tr>
      <w:tr w:rsidR="00CC21EE" w14:paraId="392554B8" w14:textId="77777777" w:rsidTr="0041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2FAEE5DE" w14:textId="77777777" w:rsidR="00CC21EE" w:rsidRPr="00CC21EE" w:rsidRDefault="00CC21EE" w:rsidP="0041061A">
            <w:pPr>
              <w:jc w:val="center"/>
              <w:rPr>
                <w:sz w:val="32"/>
                <w:szCs w:val="32"/>
              </w:rPr>
            </w:pPr>
          </w:p>
        </w:tc>
        <w:tc>
          <w:tcPr>
            <w:tcW w:w="6491" w:type="dxa"/>
            <w:vAlign w:val="center"/>
          </w:tcPr>
          <w:p w14:paraId="63B530FD" w14:textId="484D8168" w:rsidR="003125E2" w:rsidRPr="003125E2" w:rsidRDefault="00CC21EE" w:rsidP="003125E2">
            <w:pPr>
              <w:spacing w:after="400"/>
              <w:jc w:val="center"/>
              <w:cnfStyle w:val="000000100000" w:firstRow="0" w:lastRow="0" w:firstColumn="0" w:lastColumn="0" w:oddVBand="0" w:evenVBand="0" w:oddHBand="1" w:evenHBand="0" w:firstRowFirstColumn="0" w:firstRowLastColumn="0" w:lastRowFirstColumn="0" w:lastRowLastColumn="0"/>
              <w:rPr>
                <w:sz w:val="32"/>
                <w:szCs w:val="32"/>
              </w:rPr>
            </w:pPr>
            <w:r w:rsidRPr="003125E2">
              <w:rPr>
                <w:sz w:val="32"/>
                <w:szCs w:val="32"/>
              </w:rPr>
              <w:t>Vision</w:t>
            </w:r>
          </w:p>
        </w:tc>
      </w:tr>
      <w:tr w:rsidR="00CC21EE" w14:paraId="56BF1791" w14:textId="77777777" w:rsidTr="0041061A">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682FE584" w14:textId="77777777" w:rsidR="00CC21EE" w:rsidRPr="00CC21EE" w:rsidRDefault="00CC21EE" w:rsidP="0041061A">
            <w:pPr>
              <w:jc w:val="center"/>
              <w:rPr>
                <w:sz w:val="32"/>
                <w:szCs w:val="32"/>
              </w:rPr>
            </w:pPr>
          </w:p>
        </w:tc>
        <w:tc>
          <w:tcPr>
            <w:tcW w:w="6491" w:type="dxa"/>
            <w:vAlign w:val="center"/>
          </w:tcPr>
          <w:p w14:paraId="1084EE85" w14:textId="3F8BC94B" w:rsidR="003125E2" w:rsidRPr="003125E2" w:rsidRDefault="00CC21EE" w:rsidP="003125E2">
            <w:pPr>
              <w:spacing w:after="400"/>
              <w:jc w:val="center"/>
              <w:cnfStyle w:val="000000000000" w:firstRow="0" w:lastRow="0" w:firstColumn="0" w:lastColumn="0" w:oddVBand="0" w:evenVBand="0" w:oddHBand="0" w:evenHBand="0" w:firstRowFirstColumn="0" w:firstRowLastColumn="0" w:lastRowFirstColumn="0" w:lastRowLastColumn="0"/>
              <w:rPr>
                <w:sz w:val="32"/>
                <w:szCs w:val="32"/>
              </w:rPr>
            </w:pPr>
            <w:r w:rsidRPr="003125E2">
              <w:rPr>
                <w:sz w:val="32"/>
                <w:szCs w:val="32"/>
              </w:rPr>
              <w:t>Valuing ideas</w:t>
            </w:r>
          </w:p>
        </w:tc>
      </w:tr>
      <w:tr w:rsidR="00CC21EE" w14:paraId="68EB5A1B" w14:textId="77777777" w:rsidTr="0041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7BF7F8CD" w14:textId="77777777" w:rsidR="00CC21EE" w:rsidRPr="00CC21EE" w:rsidRDefault="00CC21EE" w:rsidP="0041061A">
            <w:pPr>
              <w:jc w:val="center"/>
              <w:rPr>
                <w:sz w:val="32"/>
                <w:szCs w:val="32"/>
              </w:rPr>
            </w:pPr>
          </w:p>
        </w:tc>
        <w:tc>
          <w:tcPr>
            <w:tcW w:w="6491" w:type="dxa"/>
            <w:vAlign w:val="center"/>
          </w:tcPr>
          <w:p w14:paraId="7310DC96" w14:textId="1FB8C55A" w:rsidR="003125E2" w:rsidRPr="003125E2" w:rsidRDefault="00CC21EE" w:rsidP="003125E2">
            <w:pPr>
              <w:spacing w:after="400"/>
              <w:jc w:val="center"/>
              <w:cnfStyle w:val="000000100000" w:firstRow="0" w:lastRow="0" w:firstColumn="0" w:lastColumn="0" w:oddVBand="0" w:evenVBand="0" w:oddHBand="1" w:evenHBand="0" w:firstRowFirstColumn="0" w:firstRowLastColumn="0" w:lastRowFirstColumn="0" w:lastRowLastColumn="0"/>
              <w:rPr>
                <w:sz w:val="32"/>
                <w:szCs w:val="32"/>
              </w:rPr>
            </w:pPr>
            <w:r w:rsidRPr="003125E2">
              <w:rPr>
                <w:sz w:val="32"/>
                <w:szCs w:val="32"/>
              </w:rPr>
              <w:t>Ethical and sustainable thinking</w:t>
            </w:r>
          </w:p>
        </w:tc>
      </w:tr>
      <w:tr w:rsidR="00CC21EE" w14:paraId="0BE914E8" w14:textId="77777777" w:rsidTr="0041061A">
        <w:tc>
          <w:tcPr>
            <w:cnfStyle w:val="001000000000" w:firstRow="0" w:lastRow="0" w:firstColumn="1" w:lastColumn="0" w:oddVBand="0" w:evenVBand="0" w:oddHBand="0" w:evenHBand="0" w:firstRowFirstColumn="0" w:firstRowLastColumn="0" w:lastRowFirstColumn="0" w:lastRowLastColumn="0"/>
            <w:tcW w:w="2689" w:type="dxa"/>
            <w:vMerge w:val="restart"/>
            <w:shd w:val="clear" w:color="auto" w:fill="2208BC"/>
            <w:vAlign w:val="center"/>
          </w:tcPr>
          <w:p w14:paraId="27ECA224" w14:textId="77777777" w:rsidR="00CC21EE" w:rsidRPr="00CC21EE" w:rsidRDefault="00CC21EE" w:rsidP="0041061A">
            <w:pPr>
              <w:jc w:val="center"/>
              <w:rPr>
                <w:sz w:val="32"/>
                <w:szCs w:val="32"/>
              </w:rPr>
            </w:pPr>
            <w:r w:rsidRPr="00CC21EE">
              <w:rPr>
                <w:sz w:val="32"/>
                <w:szCs w:val="32"/>
              </w:rPr>
              <w:t>Resources</w:t>
            </w:r>
          </w:p>
        </w:tc>
        <w:tc>
          <w:tcPr>
            <w:tcW w:w="6491" w:type="dxa"/>
            <w:vAlign w:val="center"/>
          </w:tcPr>
          <w:p w14:paraId="3C14FADF" w14:textId="5C431296" w:rsidR="003125E2" w:rsidRPr="003125E2" w:rsidRDefault="00CC21EE" w:rsidP="003125E2">
            <w:pPr>
              <w:spacing w:after="400"/>
              <w:jc w:val="center"/>
              <w:cnfStyle w:val="000000000000" w:firstRow="0" w:lastRow="0" w:firstColumn="0" w:lastColumn="0" w:oddVBand="0" w:evenVBand="0" w:oddHBand="0" w:evenHBand="0" w:firstRowFirstColumn="0" w:firstRowLastColumn="0" w:lastRowFirstColumn="0" w:lastRowLastColumn="0"/>
              <w:rPr>
                <w:sz w:val="32"/>
                <w:szCs w:val="32"/>
              </w:rPr>
            </w:pPr>
            <w:r w:rsidRPr="003125E2">
              <w:rPr>
                <w:sz w:val="32"/>
                <w:szCs w:val="32"/>
              </w:rPr>
              <w:t>Self-awareness and self-efficacy</w:t>
            </w:r>
          </w:p>
        </w:tc>
      </w:tr>
      <w:tr w:rsidR="00CC21EE" w14:paraId="6382D896" w14:textId="77777777" w:rsidTr="0041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07D3BE3C" w14:textId="77777777" w:rsidR="00CC21EE" w:rsidRPr="00CC21EE" w:rsidRDefault="00CC21EE" w:rsidP="0041061A">
            <w:pPr>
              <w:jc w:val="center"/>
              <w:rPr>
                <w:sz w:val="32"/>
                <w:szCs w:val="32"/>
              </w:rPr>
            </w:pPr>
          </w:p>
        </w:tc>
        <w:tc>
          <w:tcPr>
            <w:tcW w:w="6491" w:type="dxa"/>
            <w:vAlign w:val="center"/>
          </w:tcPr>
          <w:p w14:paraId="6135AEE1" w14:textId="4DB5E316" w:rsidR="003125E2" w:rsidRPr="003125E2" w:rsidRDefault="00CC21EE" w:rsidP="003125E2">
            <w:pPr>
              <w:spacing w:after="400"/>
              <w:jc w:val="center"/>
              <w:cnfStyle w:val="000000100000" w:firstRow="0" w:lastRow="0" w:firstColumn="0" w:lastColumn="0" w:oddVBand="0" w:evenVBand="0" w:oddHBand="1" w:evenHBand="0" w:firstRowFirstColumn="0" w:firstRowLastColumn="0" w:lastRowFirstColumn="0" w:lastRowLastColumn="0"/>
              <w:rPr>
                <w:sz w:val="32"/>
                <w:szCs w:val="32"/>
              </w:rPr>
            </w:pPr>
            <w:r w:rsidRPr="003125E2">
              <w:rPr>
                <w:sz w:val="32"/>
                <w:szCs w:val="32"/>
              </w:rPr>
              <w:t>Motivation and perseverance</w:t>
            </w:r>
          </w:p>
        </w:tc>
      </w:tr>
      <w:tr w:rsidR="00CC21EE" w14:paraId="4F4DDF85" w14:textId="77777777" w:rsidTr="0041061A">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2DBBCD15" w14:textId="77777777" w:rsidR="00CC21EE" w:rsidRPr="00CC21EE" w:rsidRDefault="00CC21EE" w:rsidP="0041061A">
            <w:pPr>
              <w:jc w:val="center"/>
              <w:rPr>
                <w:sz w:val="32"/>
                <w:szCs w:val="32"/>
              </w:rPr>
            </w:pPr>
          </w:p>
        </w:tc>
        <w:tc>
          <w:tcPr>
            <w:tcW w:w="6491" w:type="dxa"/>
            <w:vAlign w:val="center"/>
          </w:tcPr>
          <w:p w14:paraId="18B76943" w14:textId="58B76854" w:rsidR="003125E2" w:rsidRPr="003125E2" w:rsidRDefault="00CC21EE" w:rsidP="003125E2">
            <w:pPr>
              <w:spacing w:after="400"/>
              <w:jc w:val="center"/>
              <w:cnfStyle w:val="000000000000" w:firstRow="0" w:lastRow="0" w:firstColumn="0" w:lastColumn="0" w:oddVBand="0" w:evenVBand="0" w:oddHBand="0" w:evenHBand="0" w:firstRowFirstColumn="0" w:firstRowLastColumn="0" w:lastRowFirstColumn="0" w:lastRowLastColumn="0"/>
              <w:rPr>
                <w:sz w:val="32"/>
                <w:szCs w:val="32"/>
              </w:rPr>
            </w:pPr>
            <w:r w:rsidRPr="003125E2">
              <w:rPr>
                <w:sz w:val="32"/>
                <w:szCs w:val="32"/>
              </w:rPr>
              <w:t>Mobilising resources</w:t>
            </w:r>
          </w:p>
        </w:tc>
      </w:tr>
      <w:tr w:rsidR="00CC21EE" w14:paraId="690B28D5" w14:textId="77777777" w:rsidTr="0041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7984C349" w14:textId="77777777" w:rsidR="00CC21EE" w:rsidRPr="00CC21EE" w:rsidRDefault="00CC21EE" w:rsidP="0041061A">
            <w:pPr>
              <w:jc w:val="center"/>
              <w:rPr>
                <w:sz w:val="32"/>
                <w:szCs w:val="32"/>
              </w:rPr>
            </w:pPr>
          </w:p>
        </w:tc>
        <w:tc>
          <w:tcPr>
            <w:tcW w:w="6491" w:type="dxa"/>
            <w:vAlign w:val="center"/>
          </w:tcPr>
          <w:p w14:paraId="7544BCC8" w14:textId="4C9A9CBA" w:rsidR="003125E2" w:rsidRPr="003125E2" w:rsidRDefault="00CC21EE" w:rsidP="003125E2">
            <w:pPr>
              <w:spacing w:after="400"/>
              <w:jc w:val="center"/>
              <w:cnfStyle w:val="000000100000" w:firstRow="0" w:lastRow="0" w:firstColumn="0" w:lastColumn="0" w:oddVBand="0" w:evenVBand="0" w:oddHBand="1" w:evenHBand="0" w:firstRowFirstColumn="0" w:firstRowLastColumn="0" w:lastRowFirstColumn="0" w:lastRowLastColumn="0"/>
              <w:rPr>
                <w:sz w:val="32"/>
                <w:szCs w:val="32"/>
              </w:rPr>
            </w:pPr>
            <w:r w:rsidRPr="003125E2">
              <w:rPr>
                <w:sz w:val="32"/>
                <w:szCs w:val="32"/>
              </w:rPr>
              <w:t>Financial and economic literacy</w:t>
            </w:r>
          </w:p>
        </w:tc>
      </w:tr>
      <w:tr w:rsidR="00CC21EE" w14:paraId="5F4EB1F4" w14:textId="77777777" w:rsidTr="0041061A">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6C2A6E09" w14:textId="77777777" w:rsidR="00CC21EE" w:rsidRPr="00CC21EE" w:rsidRDefault="00CC21EE" w:rsidP="0041061A">
            <w:pPr>
              <w:jc w:val="center"/>
              <w:rPr>
                <w:sz w:val="32"/>
                <w:szCs w:val="32"/>
              </w:rPr>
            </w:pPr>
          </w:p>
        </w:tc>
        <w:tc>
          <w:tcPr>
            <w:tcW w:w="6491" w:type="dxa"/>
            <w:vAlign w:val="center"/>
          </w:tcPr>
          <w:p w14:paraId="32CC365F" w14:textId="62127A22" w:rsidR="003125E2" w:rsidRPr="003125E2" w:rsidRDefault="00CC21EE" w:rsidP="003125E2">
            <w:pPr>
              <w:spacing w:after="400"/>
              <w:jc w:val="center"/>
              <w:cnfStyle w:val="000000000000" w:firstRow="0" w:lastRow="0" w:firstColumn="0" w:lastColumn="0" w:oddVBand="0" w:evenVBand="0" w:oddHBand="0" w:evenHBand="0" w:firstRowFirstColumn="0" w:firstRowLastColumn="0" w:lastRowFirstColumn="0" w:lastRowLastColumn="0"/>
              <w:rPr>
                <w:sz w:val="32"/>
                <w:szCs w:val="32"/>
              </w:rPr>
            </w:pPr>
            <w:r w:rsidRPr="003125E2">
              <w:rPr>
                <w:sz w:val="32"/>
                <w:szCs w:val="32"/>
              </w:rPr>
              <w:t>Mobilising others</w:t>
            </w:r>
          </w:p>
        </w:tc>
      </w:tr>
      <w:tr w:rsidR="00CC21EE" w14:paraId="24410ADF" w14:textId="77777777" w:rsidTr="0041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val="restart"/>
            <w:shd w:val="clear" w:color="auto" w:fill="2208BC"/>
            <w:vAlign w:val="center"/>
          </w:tcPr>
          <w:p w14:paraId="690DB681" w14:textId="77777777" w:rsidR="00CC21EE" w:rsidRPr="00CC21EE" w:rsidRDefault="00CC21EE" w:rsidP="0041061A">
            <w:pPr>
              <w:jc w:val="center"/>
              <w:rPr>
                <w:sz w:val="32"/>
                <w:szCs w:val="32"/>
              </w:rPr>
            </w:pPr>
            <w:r w:rsidRPr="00CC21EE">
              <w:rPr>
                <w:sz w:val="32"/>
                <w:szCs w:val="32"/>
              </w:rPr>
              <w:t>Into action</w:t>
            </w:r>
          </w:p>
        </w:tc>
        <w:tc>
          <w:tcPr>
            <w:tcW w:w="6491" w:type="dxa"/>
            <w:vAlign w:val="center"/>
          </w:tcPr>
          <w:p w14:paraId="4E1F5D09" w14:textId="659A7EAA" w:rsidR="003125E2" w:rsidRPr="003125E2" w:rsidRDefault="00CC21EE" w:rsidP="003125E2">
            <w:pPr>
              <w:spacing w:after="400"/>
              <w:jc w:val="center"/>
              <w:cnfStyle w:val="000000100000" w:firstRow="0" w:lastRow="0" w:firstColumn="0" w:lastColumn="0" w:oddVBand="0" w:evenVBand="0" w:oddHBand="1" w:evenHBand="0" w:firstRowFirstColumn="0" w:firstRowLastColumn="0" w:lastRowFirstColumn="0" w:lastRowLastColumn="0"/>
              <w:rPr>
                <w:sz w:val="32"/>
                <w:szCs w:val="32"/>
              </w:rPr>
            </w:pPr>
            <w:r w:rsidRPr="003125E2">
              <w:rPr>
                <w:sz w:val="32"/>
                <w:szCs w:val="32"/>
              </w:rPr>
              <w:t>Taking the initiativ</w:t>
            </w:r>
            <w:r w:rsidR="003125E2">
              <w:rPr>
                <w:sz w:val="32"/>
                <w:szCs w:val="32"/>
              </w:rPr>
              <w:t>e</w:t>
            </w:r>
            <w:r w:rsidRPr="003125E2">
              <w:rPr>
                <w:sz w:val="32"/>
                <w:szCs w:val="32"/>
              </w:rPr>
              <w:t xml:space="preserve"> </w:t>
            </w:r>
          </w:p>
        </w:tc>
      </w:tr>
      <w:tr w:rsidR="00CC21EE" w14:paraId="7535C03D" w14:textId="77777777" w:rsidTr="0041061A">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6E4AD65D" w14:textId="77777777" w:rsidR="00CC21EE" w:rsidRDefault="00CC21EE" w:rsidP="0041061A">
            <w:pPr>
              <w:jc w:val="center"/>
            </w:pPr>
          </w:p>
        </w:tc>
        <w:tc>
          <w:tcPr>
            <w:tcW w:w="6491" w:type="dxa"/>
            <w:vAlign w:val="center"/>
          </w:tcPr>
          <w:p w14:paraId="480EA752" w14:textId="1CEB6446" w:rsidR="003125E2" w:rsidRPr="003125E2" w:rsidRDefault="00CC21EE" w:rsidP="003125E2">
            <w:pPr>
              <w:spacing w:after="400"/>
              <w:jc w:val="center"/>
              <w:cnfStyle w:val="000000000000" w:firstRow="0" w:lastRow="0" w:firstColumn="0" w:lastColumn="0" w:oddVBand="0" w:evenVBand="0" w:oddHBand="0" w:evenHBand="0" w:firstRowFirstColumn="0" w:firstRowLastColumn="0" w:lastRowFirstColumn="0" w:lastRowLastColumn="0"/>
              <w:rPr>
                <w:sz w:val="32"/>
                <w:szCs w:val="32"/>
              </w:rPr>
            </w:pPr>
            <w:r w:rsidRPr="003125E2">
              <w:rPr>
                <w:sz w:val="32"/>
                <w:szCs w:val="32"/>
              </w:rPr>
              <w:t xml:space="preserve">Planning and management </w:t>
            </w:r>
          </w:p>
        </w:tc>
      </w:tr>
      <w:tr w:rsidR="00CC21EE" w14:paraId="0B24A58F" w14:textId="77777777" w:rsidTr="0041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2A1CE0FE" w14:textId="77777777" w:rsidR="00CC21EE" w:rsidRDefault="00CC21EE" w:rsidP="0041061A">
            <w:pPr>
              <w:jc w:val="center"/>
            </w:pPr>
          </w:p>
        </w:tc>
        <w:tc>
          <w:tcPr>
            <w:tcW w:w="6491" w:type="dxa"/>
            <w:vAlign w:val="center"/>
          </w:tcPr>
          <w:p w14:paraId="30F03B6E" w14:textId="573A53E5" w:rsidR="003125E2" w:rsidRPr="003125E2" w:rsidRDefault="00CC21EE" w:rsidP="003125E2">
            <w:pPr>
              <w:spacing w:after="400"/>
              <w:jc w:val="center"/>
              <w:cnfStyle w:val="000000100000" w:firstRow="0" w:lastRow="0" w:firstColumn="0" w:lastColumn="0" w:oddVBand="0" w:evenVBand="0" w:oddHBand="1" w:evenHBand="0" w:firstRowFirstColumn="0" w:firstRowLastColumn="0" w:lastRowFirstColumn="0" w:lastRowLastColumn="0"/>
              <w:rPr>
                <w:sz w:val="32"/>
                <w:szCs w:val="32"/>
              </w:rPr>
            </w:pPr>
            <w:r w:rsidRPr="003125E2">
              <w:rPr>
                <w:sz w:val="32"/>
                <w:szCs w:val="32"/>
              </w:rPr>
              <w:t xml:space="preserve">Coping with uncertainty, ambiguity and risk </w:t>
            </w:r>
          </w:p>
        </w:tc>
      </w:tr>
      <w:tr w:rsidR="00CC21EE" w14:paraId="394D970D" w14:textId="77777777" w:rsidTr="0041061A">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17F01413" w14:textId="77777777" w:rsidR="00CC21EE" w:rsidRDefault="00CC21EE" w:rsidP="0041061A">
            <w:pPr>
              <w:jc w:val="center"/>
            </w:pPr>
          </w:p>
        </w:tc>
        <w:tc>
          <w:tcPr>
            <w:tcW w:w="6491" w:type="dxa"/>
            <w:vAlign w:val="center"/>
          </w:tcPr>
          <w:p w14:paraId="703EEE6C" w14:textId="44878C1F" w:rsidR="003125E2" w:rsidRPr="003125E2" w:rsidRDefault="00CC21EE" w:rsidP="003125E2">
            <w:pPr>
              <w:spacing w:after="400"/>
              <w:jc w:val="center"/>
              <w:cnfStyle w:val="000000000000" w:firstRow="0" w:lastRow="0" w:firstColumn="0" w:lastColumn="0" w:oddVBand="0" w:evenVBand="0" w:oddHBand="0" w:evenHBand="0" w:firstRowFirstColumn="0" w:firstRowLastColumn="0" w:lastRowFirstColumn="0" w:lastRowLastColumn="0"/>
              <w:rPr>
                <w:sz w:val="32"/>
                <w:szCs w:val="32"/>
              </w:rPr>
            </w:pPr>
            <w:r w:rsidRPr="003125E2">
              <w:rPr>
                <w:sz w:val="32"/>
                <w:szCs w:val="32"/>
              </w:rPr>
              <w:t xml:space="preserve">Working with others </w:t>
            </w:r>
          </w:p>
        </w:tc>
      </w:tr>
      <w:tr w:rsidR="00CC21EE" w14:paraId="2E4B39E6" w14:textId="77777777" w:rsidTr="00410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vMerge/>
            <w:shd w:val="clear" w:color="auto" w:fill="2208BC"/>
            <w:vAlign w:val="center"/>
          </w:tcPr>
          <w:p w14:paraId="70A8A443" w14:textId="77777777" w:rsidR="00CC21EE" w:rsidRDefault="00CC21EE" w:rsidP="0041061A">
            <w:pPr>
              <w:jc w:val="center"/>
            </w:pPr>
          </w:p>
        </w:tc>
        <w:tc>
          <w:tcPr>
            <w:tcW w:w="6491" w:type="dxa"/>
            <w:vAlign w:val="center"/>
          </w:tcPr>
          <w:p w14:paraId="10B296AE" w14:textId="3F9C4991" w:rsidR="003125E2" w:rsidRPr="003125E2" w:rsidRDefault="00CC21EE" w:rsidP="003125E2">
            <w:pPr>
              <w:spacing w:after="400"/>
              <w:jc w:val="center"/>
              <w:cnfStyle w:val="000000100000" w:firstRow="0" w:lastRow="0" w:firstColumn="0" w:lastColumn="0" w:oddVBand="0" w:evenVBand="0" w:oddHBand="1" w:evenHBand="0" w:firstRowFirstColumn="0" w:firstRowLastColumn="0" w:lastRowFirstColumn="0" w:lastRowLastColumn="0"/>
              <w:rPr>
                <w:sz w:val="32"/>
                <w:szCs w:val="32"/>
              </w:rPr>
            </w:pPr>
            <w:r w:rsidRPr="003125E2">
              <w:rPr>
                <w:sz w:val="32"/>
                <w:szCs w:val="32"/>
              </w:rPr>
              <w:t>Learning through experience</w:t>
            </w:r>
          </w:p>
        </w:tc>
      </w:tr>
    </w:tbl>
    <w:p w14:paraId="16F8F83C" w14:textId="0A44343A" w:rsidR="00CC21EE" w:rsidRDefault="00CC21EE" w:rsidP="00CC21EE"/>
    <w:p w14:paraId="045AFCC7" w14:textId="40D7B6A3" w:rsidR="00CC21EE" w:rsidRDefault="00CC21EE" w:rsidP="008A5CA2">
      <w:pPr>
        <w:rPr>
          <w:b/>
          <w:color w:val="1F4E79" w:themeColor="accent1" w:themeShade="80"/>
          <w:sz w:val="32"/>
          <w:szCs w:val="32"/>
        </w:rPr>
      </w:pPr>
      <w:r>
        <w:br w:type="page"/>
      </w:r>
      <w:r>
        <w:rPr>
          <w:b/>
          <w:color w:val="1F4E79" w:themeColor="accent1" w:themeShade="80"/>
          <w:sz w:val="32"/>
          <w:szCs w:val="32"/>
        </w:rPr>
        <w:lastRenderedPageBreak/>
        <w:t>Annex 2</w:t>
      </w:r>
    </w:p>
    <w:p w14:paraId="72BBA39E" w14:textId="4154DBDD" w:rsidR="008A5CA2" w:rsidRPr="008A5CA2" w:rsidRDefault="009D49B5" w:rsidP="008A5CA2">
      <w:pPr>
        <w:rPr>
          <w:b/>
          <w:color w:val="1F4E79" w:themeColor="accent1" w:themeShade="80"/>
          <w:sz w:val="32"/>
          <w:szCs w:val="32"/>
        </w:rPr>
      </w:pPr>
      <w:r>
        <w:rPr>
          <w:b/>
          <w:color w:val="1F4E79" w:themeColor="accent1" w:themeShade="80"/>
          <w:sz w:val="32"/>
          <w:szCs w:val="32"/>
        </w:rPr>
        <w:t>PR</w:t>
      </w:r>
      <w:r w:rsidR="008A5CA2" w:rsidRPr="008A5CA2">
        <w:rPr>
          <w:b/>
          <w:color w:val="1F4E79" w:themeColor="accent1" w:themeShade="80"/>
          <w:sz w:val="32"/>
          <w:szCs w:val="32"/>
        </w:rPr>
        <w:t>IVACY STATEMENT FOR APPLICANTS PARTICIPATING IN THE CALL FOR G</w:t>
      </w:r>
      <w:r w:rsidR="007B72E9">
        <w:rPr>
          <w:b/>
          <w:color w:val="1F4E79" w:themeColor="accent1" w:themeShade="80"/>
          <w:sz w:val="32"/>
          <w:szCs w:val="32"/>
        </w:rPr>
        <w:t>OOD PRACTICE</w:t>
      </w:r>
    </w:p>
    <w:p w14:paraId="2380D35F"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Context</w:t>
      </w:r>
    </w:p>
    <w:p w14:paraId="20399770" w14:textId="6CF55B9C" w:rsidR="008A5CA2" w:rsidRDefault="008A5CA2" w:rsidP="008A5CA2">
      <w:r>
        <w:t xml:space="preserve">The ETF is launching a call for good practice in </w:t>
      </w:r>
      <w:r w:rsidR="00D345F4">
        <w:t>e</w:t>
      </w:r>
      <w:r w:rsidR="007B72E9">
        <w:t>ntrepreneur</w:t>
      </w:r>
      <w:r w:rsidR="00D345F4">
        <w:t xml:space="preserve">ial learning </w:t>
      </w:r>
      <w:r>
        <w:t>with the objective of selecting one or more training programmes that will be publicly shared as good practice in the field.</w:t>
      </w:r>
    </w:p>
    <w:p w14:paraId="5C7378CE" w14:textId="77777777" w:rsidR="008A5CA2" w:rsidRDefault="008A5CA2" w:rsidP="008A5CA2">
      <w:r>
        <w:t>Within the framework of the call, all personal data processed are dealt with in compliance with Regulation (EC) No. 45/2001 of the European Parliament and of the Council of 18 December 2000 on the protection of individuals with regard to the processing of personal data by the Community institutions and bodies and on the free movement of such data, hereafter referred to as the Regulation.</w:t>
      </w:r>
    </w:p>
    <w:p w14:paraId="54EE5DDD" w14:textId="77777777" w:rsidR="008A5CA2" w:rsidRDefault="008A5CA2" w:rsidP="008A5CA2">
      <w:r>
        <w:t>In accordance with Articles 11 and 12 of the Regulation, the ETF hereby provides the following information on the processing.</w:t>
      </w:r>
    </w:p>
    <w:p w14:paraId="5793B7C2"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Purpose of the processing</w:t>
      </w:r>
    </w:p>
    <w:p w14:paraId="58FD6A76" w14:textId="77777777" w:rsidR="008A5CA2" w:rsidRDefault="008A5CA2" w:rsidP="008A5CA2">
      <w:r>
        <w:t>The purposes of the processing are:</w:t>
      </w:r>
    </w:p>
    <w:p w14:paraId="0CEA1AAB" w14:textId="5D4C2C7E" w:rsidR="008A5CA2" w:rsidRDefault="00AC707D" w:rsidP="00450643">
      <w:pPr>
        <w:pStyle w:val="ListParagraph"/>
        <w:numPr>
          <w:ilvl w:val="0"/>
          <w:numId w:val="4"/>
        </w:numPr>
      </w:pPr>
      <w:r>
        <w:t>Logistics and</w:t>
      </w:r>
      <w:r w:rsidR="008A5CA2">
        <w:t xml:space="preserve"> administrative management of the call</w:t>
      </w:r>
    </w:p>
    <w:p w14:paraId="0C0DD7E2" w14:textId="3BBBA4C0" w:rsidR="008A5CA2" w:rsidRDefault="008A5CA2" w:rsidP="00450643">
      <w:pPr>
        <w:pStyle w:val="ListParagraph"/>
        <w:numPr>
          <w:ilvl w:val="0"/>
          <w:numId w:val="4"/>
        </w:numPr>
      </w:pPr>
      <w:r>
        <w:t>Sharing the data of the award-winning applicants both on paper publications and on a public web platform</w:t>
      </w:r>
    </w:p>
    <w:p w14:paraId="0A1FB0B4"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Personal data</w:t>
      </w:r>
    </w:p>
    <w:p w14:paraId="7CCA9452" w14:textId="77777777" w:rsidR="008A5CA2" w:rsidRDefault="008A5CA2" w:rsidP="008A5CA2">
      <w:r>
        <w:t>Personal data collected and further processed will be:</w:t>
      </w:r>
    </w:p>
    <w:p w14:paraId="02A91111" w14:textId="5C901FC0" w:rsidR="008A5CA2" w:rsidRDefault="008A5CA2" w:rsidP="00450643">
      <w:pPr>
        <w:pStyle w:val="ListParagraph"/>
        <w:numPr>
          <w:ilvl w:val="0"/>
          <w:numId w:val="5"/>
        </w:numPr>
      </w:pPr>
      <w:r>
        <w:t>Name</w:t>
      </w:r>
      <w:r w:rsidR="00AC707D">
        <w:t xml:space="preserve"> and contact details (address, Email, telephone) </w:t>
      </w:r>
      <w:r>
        <w:t xml:space="preserve">of the person </w:t>
      </w:r>
      <w:r w:rsidR="00AC707D">
        <w:t>representing the participating vocational school or training centre, and the person representing the accompanying policy maker</w:t>
      </w:r>
    </w:p>
    <w:p w14:paraId="2B0075A5" w14:textId="77777777" w:rsidR="008A5CA2" w:rsidRDefault="008A5CA2" w:rsidP="008A5CA2">
      <w:r>
        <w:t>The data is provided in the application form.</w:t>
      </w:r>
    </w:p>
    <w:p w14:paraId="4BAE04D3" w14:textId="7B59B068" w:rsidR="008A5CA2" w:rsidRDefault="008A5CA2" w:rsidP="008A5CA2">
      <w:r>
        <w:t xml:space="preserve">Provision of this data is on a voluntary basis. In the absence of this data, the general </w:t>
      </w:r>
      <w:r w:rsidR="008758EE">
        <w:t xml:space="preserve">contact </w:t>
      </w:r>
      <w:r>
        <w:t>data of the training provider is used in the call.</w:t>
      </w:r>
    </w:p>
    <w:p w14:paraId="6DFBE0E0"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Legal basis</w:t>
      </w:r>
    </w:p>
    <w:p w14:paraId="72EEE37D" w14:textId="77777777" w:rsidR="008A5CA2" w:rsidRDefault="008A5CA2" w:rsidP="008A5CA2">
      <w:r>
        <w:t>The legal basis for the processing operations of personal data is:</w:t>
      </w:r>
    </w:p>
    <w:p w14:paraId="519A24D3" w14:textId="5B6CA3EF" w:rsidR="008A5CA2" w:rsidRDefault="008A5CA2" w:rsidP="00C32080">
      <w:pPr>
        <w:pStyle w:val="ListParagraph"/>
        <w:numPr>
          <w:ilvl w:val="0"/>
          <w:numId w:val="5"/>
        </w:numPr>
      </w:pPr>
      <w:r>
        <w:t>ETF’s mandate, article 1. Objective and scope, (</w:t>
      </w:r>
      <w:r w:rsidR="009400A0">
        <w:t>b)</w:t>
      </w:r>
      <w:r>
        <w:t>, article 2, functions, (f).</w:t>
      </w:r>
    </w:p>
    <w:p w14:paraId="21839A94"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Controller identity</w:t>
      </w:r>
    </w:p>
    <w:p w14:paraId="50CDF722" w14:textId="5F955420" w:rsidR="008A5CA2" w:rsidRDefault="008A5CA2" w:rsidP="008A5CA2">
      <w:r>
        <w:t>The Data Controller is the Director of the ETF</w:t>
      </w:r>
      <w:r w:rsidR="00C32080">
        <w:t>.</w:t>
      </w:r>
    </w:p>
    <w:p w14:paraId="6366502E"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Technical means of data processing</w:t>
      </w:r>
    </w:p>
    <w:p w14:paraId="671EDCEF" w14:textId="77777777" w:rsidR="008A5CA2" w:rsidRDefault="008A5CA2" w:rsidP="008A5CA2">
      <w:r>
        <w:t>The data are processed both on paper and electronically.</w:t>
      </w:r>
    </w:p>
    <w:p w14:paraId="260EB011"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Recipients of the personal data</w:t>
      </w:r>
    </w:p>
    <w:p w14:paraId="1C853D97" w14:textId="77777777" w:rsidR="008A5CA2" w:rsidRDefault="008A5CA2" w:rsidP="008A5CA2">
      <w:r>
        <w:t>For the purposes detailed above, the provided personal data is accessed by:</w:t>
      </w:r>
    </w:p>
    <w:p w14:paraId="3E989349" w14:textId="7E8E05AD" w:rsidR="008A5CA2" w:rsidRDefault="008A5CA2" w:rsidP="008A5CA2">
      <w:pPr>
        <w:pStyle w:val="ListParagraph"/>
        <w:numPr>
          <w:ilvl w:val="0"/>
          <w:numId w:val="3"/>
        </w:numPr>
      </w:pPr>
      <w:r>
        <w:t xml:space="preserve">The ETF team </w:t>
      </w:r>
      <w:r w:rsidR="008758EE">
        <w:t>managing the call</w:t>
      </w:r>
      <w:r w:rsidR="00C32080">
        <w:t xml:space="preserve"> </w:t>
      </w:r>
      <w:r w:rsidR="006955E6">
        <w:t xml:space="preserve">and </w:t>
      </w:r>
      <w:r w:rsidR="008758EE">
        <w:t>one external reviewer</w:t>
      </w:r>
      <w:r w:rsidR="003D7B01">
        <w:t xml:space="preserve"> </w:t>
      </w:r>
      <w:r>
        <w:t>administering the call on a need</w:t>
      </w:r>
      <w:r w:rsidR="00F52402">
        <w:t>-</w:t>
      </w:r>
      <w:r>
        <w:t>to</w:t>
      </w:r>
      <w:r w:rsidR="00F52402">
        <w:t>-</w:t>
      </w:r>
      <w:r>
        <w:t>know basis</w:t>
      </w:r>
    </w:p>
    <w:p w14:paraId="7E5731A8" w14:textId="0D85959B" w:rsidR="008A5CA2" w:rsidRDefault="008758EE" w:rsidP="008A5CA2">
      <w:pPr>
        <w:pStyle w:val="ListParagraph"/>
        <w:numPr>
          <w:ilvl w:val="0"/>
          <w:numId w:val="3"/>
        </w:numPr>
      </w:pPr>
      <w:r>
        <w:t>All members of</w:t>
      </w:r>
      <w:r w:rsidR="008A5CA2">
        <w:t xml:space="preserve"> the ETF good practice platform</w:t>
      </w:r>
    </w:p>
    <w:p w14:paraId="7218E793" w14:textId="1CDAF5DF" w:rsidR="008A5CA2" w:rsidRDefault="008A5CA2" w:rsidP="008A5CA2">
      <w:pPr>
        <w:pStyle w:val="ListParagraph"/>
        <w:numPr>
          <w:ilvl w:val="0"/>
          <w:numId w:val="3"/>
        </w:numPr>
      </w:pPr>
      <w:r>
        <w:lastRenderedPageBreak/>
        <w:t>All public that receives a copy of the good practice information note (this is only the case for the award-winning a</w:t>
      </w:r>
      <w:r w:rsidR="008758EE">
        <w:t>pplicants)</w:t>
      </w:r>
    </w:p>
    <w:p w14:paraId="7FC7537E" w14:textId="341A5989" w:rsidR="008758EE" w:rsidRDefault="008758EE" w:rsidP="008A5CA2">
      <w:pPr>
        <w:pStyle w:val="ListParagraph"/>
        <w:numPr>
          <w:ilvl w:val="0"/>
          <w:numId w:val="3"/>
        </w:numPr>
      </w:pPr>
      <w:r>
        <w:t>The European Commission</w:t>
      </w:r>
      <w:r w:rsidR="00D345F4">
        <w:t xml:space="preserve"> as</w:t>
      </w:r>
      <w:r>
        <w:t xml:space="preserve"> organiser of the EU Vocational Skills Week 2018 (this is only the case for the award-winning applicants)</w:t>
      </w:r>
    </w:p>
    <w:p w14:paraId="4078E1D2" w14:textId="77777777" w:rsidR="008A5CA2" w:rsidRDefault="008A5CA2" w:rsidP="008A5CA2">
      <w:r>
        <w:t>The ETF will not divulge personal data for direct marketing or commercial purposes.</w:t>
      </w:r>
    </w:p>
    <w:p w14:paraId="787C1305" w14:textId="7CA35FEC" w:rsidR="008A5CA2" w:rsidRDefault="008A5CA2" w:rsidP="008A5CA2">
      <w:r>
        <w:t>Without prejudice to a possible transmission to the bodies in charge of a monitoring or inspection task in accordance with European Union and national law, certain personal data may be disclosed on a need</w:t>
      </w:r>
      <w:r w:rsidR="00D345F4">
        <w:t>-</w:t>
      </w:r>
      <w:r>
        <w:t>to</w:t>
      </w:r>
      <w:r w:rsidR="00D345F4">
        <w:t>-</w:t>
      </w:r>
      <w:r>
        <w:t>know basis to:</w:t>
      </w:r>
    </w:p>
    <w:p w14:paraId="4AF2AFEF" w14:textId="2786F8FD" w:rsidR="008A5CA2" w:rsidRDefault="008A5CA2" w:rsidP="008A5CA2">
      <w:pPr>
        <w:pStyle w:val="ListParagraph"/>
        <w:numPr>
          <w:ilvl w:val="0"/>
          <w:numId w:val="2"/>
        </w:numPr>
      </w:pPr>
      <w:r>
        <w:t>ETF Legal Advisor,</w:t>
      </w:r>
    </w:p>
    <w:p w14:paraId="5B544D3F" w14:textId="000ADA2E" w:rsidR="008A5CA2" w:rsidRDefault="008A5CA2" w:rsidP="008A5CA2">
      <w:pPr>
        <w:pStyle w:val="ListParagraph"/>
        <w:numPr>
          <w:ilvl w:val="0"/>
          <w:numId w:val="2"/>
        </w:numPr>
      </w:pPr>
      <w:r>
        <w:t>European Court of Justice or National judicial authority,</w:t>
      </w:r>
    </w:p>
    <w:p w14:paraId="4C245988" w14:textId="5D2D1C89" w:rsidR="008A5CA2" w:rsidRDefault="00020F48" w:rsidP="00020F48">
      <w:pPr>
        <w:pStyle w:val="ListParagraph"/>
        <w:numPr>
          <w:ilvl w:val="0"/>
          <w:numId w:val="2"/>
        </w:numPr>
      </w:pPr>
      <w:r w:rsidRPr="00020F48">
        <w:t>The European Anti-Fraud Office (OLAF)</w:t>
      </w:r>
      <w:r w:rsidR="008A5CA2">
        <w:t>,</w:t>
      </w:r>
    </w:p>
    <w:p w14:paraId="298B829C" w14:textId="0B1126ED" w:rsidR="008A5CA2" w:rsidRDefault="008A5CA2" w:rsidP="008A5CA2">
      <w:pPr>
        <w:pStyle w:val="ListParagraph"/>
        <w:numPr>
          <w:ilvl w:val="0"/>
          <w:numId w:val="2"/>
        </w:numPr>
      </w:pPr>
      <w:r>
        <w:t>European Ombudsman,</w:t>
      </w:r>
    </w:p>
    <w:p w14:paraId="681E6A18" w14:textId="2C0EFFBB" w:rsidR="008A5CA2" w:rsidRDefault="008A5CA2" w:rsidP="008A5CA2">
      <w:pPr>
        <w:pStyle w:val="ListParagraph"/>
        <w:numPr>
          <w:ilvl w:val="0"/>
          <w:numId w:val="2"/>
        </w:numPr>
      </w:pPr>
      <w:r>
        <w:t>European Data Protection Supervisor,</w:t>
      </w:r>
    </w:p>
    <w:p w14:paraId="71D9093C" w14:textId="56757429" w:rsidR="008A5CA2" w:rsidRDefault="008A5CA2" w:rsidP="008A5CA2">
      <w:pPr>
        <w:pStyle w:val="ListParagraph"/>
        <w:numPr>
          <w:ilvl w:val="0"/>
          <w:numId w:val="2"/>
        </w:numPr>
      </w:pPr>
      <w:r>
        <w:t>European Court of Auditors and the Internal Audit Service.</w:t>
      </w:r>
    </w:p>
    <w:p w14:paraId="2E443FEE"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Right of access, rectification, blocking, erasure</w:t>
      </w:r>
    </w:p>
    <w:p w14:paraId="0B554E21" w14:textId="1857D5D7" w:rsidR="008A5CA2" w:rsidRDefault="008A5CA2" w:rsidP="008A5CA2">
      <w:r>
        <w:t>Any request to access, rectify, block or erase personal data shall be addressed in writing to the Data Controller, Director of the ETF</w:t>
      </w:r>
      <w:r w:rsidR="007D6560">
        <w:t xml:space="preserve">: </w:t>
      </w:r>
      <w:r>
        <w:t>M</w:t>
      </w:r>
      <w:r w:rsidR="00320742">
        <w:t>r</w:t>
      </w:r>
      <w:r>
        <w:t xml:space="preserve"> </w:t>
      </w:r>
      <w:r w:rsidR="00320742" w:rsidRPr="00320742">
        <w:t>Cesare Onestini</w:t>
      </w:r>
      <w:r w:rsidR="00320742">
        <w:t>, c</w:t>
      </w:r>
      <w:r>
        <w:t>e</w:t>
      </w:r>
      <w:r w:rsidR="00320742">
        <w:t>o</w:t>
      </w:r>
      <w:r>
        <w:t>@etf.europa.eu.</w:t>
      </w:r>
    </w:p>
    <w:p w14:paraId="62A2F219"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Time limits</w:t>
      </w:r>
    </w:p>
    <w:p w14:paraId="202E8612" w14:textId="62E117A8" w:rsidR="008A5CA2" w:rsidRDefault="008A5CA2" w:rsidP="008A5CA2">
      <w:r>
        <w:t xml:space="preserve">All justified and legitimate requests will be carried out within </w:t>
      </w:r>
      <w:r w:rsidR="007D6560">
        <w:t>one</w:t>
      </w:r>
      <w:r w:rsidRPr="00F537A9">
        <w:t xml:space="preserve"> month</w:t>
      </w:r>
      <w:r w:rsidR="00B90254" w:rsidRPr="00F537A9">
        <w:t xml:space="preserve"> </w:t>
      </w:r>
      <w:r>
        <w:t>of their reception.</w:t>
      </w:r>
    </w:p>
    <w:p w14:paraId="33DA23FA"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Data retention</w:t>
      </w:r>
    </w:p>
    <w:p w14:paraId="52A2F394" w14:textId="09ACDF63" w:rsidR="008A5CA2" w:rsidRDefault="008A5CA2" w:rsidP="008A5CA2">
      <w:r>
        <w:t xml:space="preserve">Data collected will be retained for 2 years following the completion of the </w:t>
      </w:r>
      <w:r w:rsidR="007D6560">
        <w:t>call</w:t>
      </w:r>
      <w:r>
        <w:t xml:space="preserve"> and the publication of the good practice on the </w:t>
      </w:r>
      <w:r w:rsidRPr="00F16E3E">
        <w:t xml:space="preserve">ETF </w:t>
      </w:r>
      <w:r w:rsidR="00F16E3E">
        <w:t>Good Practice P</w:t>
      </w:r>
      <w:r w:rsidRPr="00F16E3E">
        <w:t>latform</w:t>
      </w:r>
      <w:r w:rsidR="00D345F4" w:rsidRPr="00F16E3E">
        <w:t>.</w:t>
      </w:r>
    </w:p>
    <w:p w14:paraId="506752BA"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Contact information</w:t>
      </w:r>
    </w:p>
    <w:p w14:paraId="26DD7ADF" w14:textId="6F7934E6" w:rsidR="008A5CA2" w:rsidRDefault="008A5CA2" w:rsidP="008A5CA2">
      <w:r>
        <w:t xml:space="preserve">Data processors in ETF are: </w:t>
      </w:r>
      <w:r w:rsidR="009338A8">
        <w:t>Florian Kadletz</w:t>
      </w:r>
      <w:r>
        <w:t xml:space="preserve"> (</w:t>
      </w:r>
      <w:r w:rsidR="009338A8">
        <w:t>fka</w:t>
      </w:r>
      <w:r>
        <w:t>@etf.europa.eu) and Galyna Terzi (gte@etf.europa.eu).</w:t>
      </w:r>
    </w:p>
    <w:p w14:paraId="19BF7390" w14:textId="77777777" w:rsidR="008A5CA2" w:rsidRPr="008A5CA2" w:rsidRDefault="008A5CA2" w:rsidP="008A5CA2">
      <w:pPr>
        <w:spacing w:after="0"/>
        <w:rPr>
          <w:b/>
          <w:color w:val="1F4E79" w:themeColor="accent1" w:themeShade="80"/>
          <w:sz w:val="26"/>
          <w:szCs w:val="26"/>
        </w:rPr>
      </w:pPr>
      <w:r w:rsidRPr="008A5CA2">
        <w:rPr>
          <w:b/>
          <w:color w:val="1F4E79" w:themeColor="accent1" w:themeShade="80"/>
          <w:sz w:val="26"/>
          <w:szCs w:val="26"/>
        </w:rPr>
        <w:t>Right of recourse</w:t>
      </w:r>
    </w:p>
    <w:p w14:paraId="3785C9E6" w14:textId="60C117C7" w:rsidR="005F78EF" w:rsidRDefault="008A5CA2" w:rsidP="008A5CA2">
      <w:r>
        <w:t>Data subjects can at any time have recourse to the ETF Data Protection Officer (dpo@etf.europa.eu), or to the European Data Protection Supervisor (http://www.edps.europa.eu) if they consider that their rights under Regulation 45/2001 have been infringed as a result of the processing of their personal data by the ETF.</w:t>
      </w:r>
    </w:p>
    <w:p w14:paraId="65A75F06" w14:textId="77777777" w:rsidR="00D71B7E" w:rsidRDefault="00D71B7E" w:rsidP="008A5CA2"/>
    <w:sectPr w:rsidR="00D71B7E" w:rsidSect="004433C1">
      <w:headerReference w:type="even" r:id="rId22"/>
      <w:headerReference w:type="default" r:id="rId23"/>
      <w:headerReference w:type="first" r:id="rId24"/>
      <w:pgSz w:w="11906" w:h="16838"/>
      <w:pgMar w:top="1134" w:right="1276"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B83E2" w14:textId="77777777" w:rsidR="00AB6728" w:rsidRDefault="00AB6728" w:rsidP="004F16CE">
      <w:pPr>
        <w:spacing w:after="0" w:line="240" w:lineRule="auto"/>
      </w:pPr>
      <w:r>
        <w:separator/>
      </w:r>
    </w:p>
  </w:endnote>
  <w:endnote w:type="continuationSeparator" w:id="0">
    <w:p w14:paraId="1F2ADE84" w14:textId="77777777" w:rsidR="00AB6728" w:rsidRDefault="00AB6728" w:rsidP="004F16CE">
      <w:pPr>
        <w:spacing w:after="0" w:line="240" w:lineRule="auto"/>
      </w:pPr>
      <w:r>
        <w:continuationSeparator/>
      </w:r>
    </w:p>
  </w:endnote>
  <w:endnote w:type="continuationNotice" w:id="1">
    <w:p w14:paraId="0C0A447C" w14:textId="77777777" w:rsidR="00AB6728" w:rsidRDefault="00AB6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5E345" w14:textId="77777777" w:rsidR="00AB6728" w:rsidRDefault="00AB6728" w:rsidP="004F16CE">
      <w:pPr>
        <w:spacing w:after="0" w:line="240" w:lineRule="auto"/>
      </w:pPr>
      <w:r>
        <w:separator/>
      </w:r>
    </w:p>
  </w:footnote>
  <w:footnote w:type="continuationSeparator" w:id="0">
    <w:p w14:paraId="157F6116" w14:textId="77777777" w:rsidR="00AB6728" w:rsidRDefault="00AB6728" w:rsidP="004F16CE">
      <w:pPr>
        <w:spacing w:after="0" w:line="240" w:lineRule="auto"/>
      </w:pPr>
      <w:r>
        <w:continuationSeparator/>
      </w:r>
    </w:p>
  </w:footnote>
  <w:footnote w:type="continuationNotice" w:id="1">
    <w:p w14:paraId="1AF572EE" w14:textId="77777777" w:rsidR="00AB6728" w:rsidRDefault="00AB6728">
      <w:pPr>
        <w:spacing w:after="0" w:line="240" w:lineRule="auto"/>
      </w:pPr>
    </w:p>
  </w:footnote>
  <w:footnote w:id="2">
    <w:p w14:paraId="2F9FF1A7" w14:textId="4C7C9D89" w:rsidR="0011613F" w:rsidRPr="008929D7" w:rsidRDefault="0011613F" w:rsidP="00F945BC">
      <w:pPr>
        <w:pStyle w:val="FootnoteText"/>
        <w:rPr>
          <w:color w:val="44546A" w:themeColor="text2"/>
          <w:sz w:val="16"/>
          <w:szCs w:val="16"/>
        </w:rPr>
      </w:pPr>
      <w:r w:rsidRPr="008929D7">
        <w:rPr>
          <w:rStyle w:val="FootnoteReference"/>
          <w:sz w:val="16"/>
          <w:szCs w:val="16"/>
        </w:rPr>
        <w:footnoteRef/>
      </w:r>
      <w:r w:rsidRPr="008929D7">
        <w:rPr>
          <w:sz w:val="16"/>
          <w:szCs w:val="16"/>
        </w:rPr>
        <w:t xml:space="preserve"> </w:t>
      </w:r>
      <w:r w:rsidRPr="008929D7">
        <w:rPr>
          <w:color w:val="44546A" w:themeColor="text2"/>
          <w:sz w:val="16"/>
          <w:szCs w:val="16"/>
        </w:rPr>
        <w:t>Albania, Algeria, Belarus, Armenia, Azerbaijan, Bosnia and Herzegovina, Egypt, Georgia, Israel, Jordan, Kazakhstan, Kyrgyzstan, Libya, Kosovo*, Lebanon, former Yugoslav Republic of Macedonia, Moldova, Montenegro, Morocco, Palestine**, Russia, Serbia, Syria, Tajikistan, Tunisia, Turkey, Turkmenistan, Ukraine, Uzbekistan.</w:t>
      </w:r>
    </w:p>
    <w:p w14:paraId="08D0E5E2" w14:textId="77777777" w:rsidR="0011613F" w:rsidRPr="008929D7" w:rsidRDefault="0011613F" w:rsidP="00F945BC">
      <w:pPr>
        <w:pStyle w:val="FootnoteText"/>
        <w:rPr>
          <w:color w:val="44546A" w:themeColor="text2"/>
          <w:sz w:val="16"/>
          <w:szCs w:val="16"/>
        </w:rPr>
      </w:pPr>
    </w:p>
    <w:p w14:paraId="7315FF96" w14:textId="295C2F44" w:rsidR="0011613F" w:rsidRPr="008929D7" w:rsidRDefault="0011613F" w:rsidP="00F945BC">
      <w:pPr>
        <w:pStyle w:val="FootnoteText"/>
        <w:rPr>
          <w:i/>
          <w:color w:val="44546A" w:themeColor="text2"/>
          <w:sz w:val="16"/>
          <w:szCs w:val="16"/>
        </w:rPr>
      </w:pPr>
      <w:r w:rsidRPr="008929D7">
        <w:rPr>
          <w:i/>
          <w:color w:val="44546A" w:themeColor="text2"/>
          <w:sz w:val="16"/>
          <w:szCs w:val="16"/>
        </w:rPr>
        <w:t>* This designation is without prejudice to positions on status, and is in line with UNSCR 1244/1999 and the ICJ Opinion on the Kosovo declaration of independence.</w:t>
      </w:r>
    </w:p>
    <w:p w14:paraId="63B46E47" w14:textId="70478DE7" w:rsidR="0011613F" w:rsidRPr="00BD591A" w:rsidRDefault="0011613F" w:rsidP="00F945BC">
      <w:pPr>
        <w:pStyle w:val="FootnoteText"/>
        <w:rPr>
          <w:i/>
          <w:color w:val="44546A" w:themeColor="text2"/>
          <w:sz w:val="18"/>
          <w:szCs w:val="18"/>
        </w:rPr>
      </w:pPr>
      <w:r w:rsidRPr="008929D7">
        <w:rPr>
          <w:i/>
          <w:color w:val="44546A" w:themeColor="text2"/>
          <w:sz w:val="16"/>
          <w:szCs w:val="16"/>
        </w:rPr>
        <w:t>** This designation shall not be construed as recognition of a State of Palestine and is without prejudice to the individual positions of the Member States on this issue.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3405" w14:textId="6AAA59C4" w:rsidR="0011613F" w:rsidRDefault="00AB6728">
    <w:pPr>
      <w:pStyle w:val="Header"/>
    </w:pPr>
    <w:r>
      <w:rPr>
        <w:noProof/>
        <w:lang w:val="fr-FR" w:eastAsia="fr-FR"/>
      </w:rPr>
      <w:pict w14:anchorId="2442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6659" o:spid="_x0000_s2050" type="#_x0000_t75" style="position:absolute;margin-left:0;margin-top:0;width:459.2pt;height:320.85pt;z-index:-251658239;mso-position-horizontal:center;mso-position-horizontal-relative:margin;mso-position-vertical:center;mso-position-vertical-relative:margin" o:allowincell="f">
          <v:imagedata r:id="rId1" o:title="Petal_Pattern_full_colou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D9ED" w14:textId="2CFBD7DF" w:rsidR="0011613F" w:rsidRDefault="00AB6728">
    <w:pPr>
      <w:pStyle w:val="Header"/>
    </w:pPr>
    <w:r>
      <w:rPr>
        <w:noProof/>
        <w:lang w:val="fr-FR" w:eastAsia="fr-FR"/>
      </w:rPr>
      <w:pict w14:anchorId="54954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6660" o:spid="_x0000_s2051" type="#_x0000_t75" style="position:absolute;margin-left:0;margin-top:0;width:459.2pt;height:320.85pt;z-index:-251658238;mso-position-horizontal:center;mso-position-horizontal-relative:margin;mso-position-vertical:center;mso-position-vertical-relative:margin" o:allowincell="f">
          <v:imagedata r:id="rId1" o:title="Petal_Pattern_full_colour"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97FE" w14:textId="63248E7C" w:rsidR="0011613F" w:rsidRDefault="00AB6728">
    <w:pPr>
      <w:pStyle w:val="Header"/>
    </w:pPr>
    <w:r>
      <w:rPr>
        <w:noProof/>
        <w:lang w:val="fr-FR" w:eastAsia="fr-FR"/>
      </w:rPr>
      <w:pict w14:anchorId="0C7B2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06658" o:spid="_x0000_s2049" type="#_x0000_t75" style="position:absolute;margin-left:0;margin-top:0;width:459.2pt;height:320.85pt;z-index:-251658240;mso-position-horizontal:center;mso-position-horizontal-relative:margin;mso-position-vertical:center;mso-position-vertical-relative:margin" o:allowincell="f">
          <v:imagedata r:id="rId1" o:title="Petal_Pattern_full_colou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C28"/>
    <w:multiLevelType w:val="hybridMultilevel"/>
    <w:tmpl w:val="1F508A96"/>
    <w:lvl w:ilvl="0" w:tplc="1C86C70E">
      <w:numFmt w:val="bullet"/>
      <w:lvlText w:val=""/>
      <w:lvlJc w:val="left"/>
      <w:pPr>
        <w:ind w:left="76" w:hanging="360"/>
      </w:pPr>
      <w:rPr>
        <w:rFonts w:ascii="Symbol" w:eastAsiaTheme="minorHAnsi" w:hAnsi="Symbol" w:cstheme="minorBid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28AB72AD"/>
    <w:multiLevelType w:val="hybridMultilevel"/>
    <w:tmpl w:val="3CE0C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6771A"/>
    <w:multiLevelType w:val="hybridMultilevel"/>
    <w:tmpl w:val="F2B4A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370528"/>
    <w:multiLevelType w:val="hybridMultilevel"/>
    <w:tmpl w:val="4A2607AE"/>
    <w:lvl w:ilvl="0" w:tplc="640EFC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89417A"/>
    <w:multiLevelType w:val="hybridMultilevel"/>
    <w:tmpl w:val="4ADC46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8C37F4F"/>
    <w:multiLevelType w:val="hybridMultilevel"/>
    <w:tmpl w:val="E4DC77FE"/>
    <w:lvl w:ilvl="0" w:tplc="4F667FDE">
      <w:start w:val="18"/>
      <w:numFmt w:val="bullet"/>
      <w:lvlText w:val=""/>
      <w:lvlJc w:val="left"/>
      <w:pPr>
        <w:ind w:left="76" w:hanging="360"/>
      </w:pPr>
      <w:rPr>
        <w:rFonts w:ascii="Symbol" w:eastAsiaTheme="minorHAnsi" w:hAnsi="Symbol" w:cstheme="minorBid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6E200CAE"/>
    <w:multiLevelType w:val="hybridMultilevel"/>
    <w:tmpl w:val="4D84340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F569BA"/>
    <w:multiLevelType w:val="hybridMultilevel"/>
    <w:tmpl w:val="C5667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675825"/>
    <w:multiLevelType w:val="hybridMultilevel"/>
    <w:tmpl w:val="61509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8"/>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40"/>
    <w:rsid w:val="00003394"/>
    <w:rsid w:val="00013D29"/>
    <w:rsid w:val="00020F48"/>
    <w:rsid w:val="00021F8A"/>
    <w:rsid w:val="00023302"/>
    <w:rsid w:val="00032EB8"/>
    <w:rsid w:val="0003559A"/>
    <w:rsid w:val="000373B0"/>
    <w:rsid w:val="00041807"/>
    <w:rsid w:val="00045046"/>
    <w:rsid w:val="00051339"/>
    <w:rsid w:val="0005158C"/>
    <w:rsid w:val="00052B32"/>
    <w:rsid w:val="00066763"/>
    <w:rsid w:val="00072286"/>
    <w:rsid w:val="00082FEF"/>
    <w:rsid w:val="00083055"/>
    <w:rsid w:val="000858B1"/>
    <w:rsid w:val="000B79AC"/>
    <w:rsid w:val="000C36C3"/>
    <w:rsid w:val="000D00CB"/>
    <w:rsid w:val="000F518F"/>
    <w:rsid w:val="000F64C2"/>
    <w:rsid w:val="00103901"/>
    <w:rsid w:val="00110B03"/>
    <w:rsid w:val="001121CE"/>
    <w:rsid w:val="00113426"/>
    <w:rsid w:val="00114E3E"/>
    <w:rsid w:val="0011613F"/>
    <w:rsid w:val="00125FF7"/>
    <w:rsid w:val="0013517D"/>
    <w:rsid w:val="001378CE"/>
    <w:rsid w:val="00146728"/>
    <w:rsid w:val="00160B8C"/>
    <w:rsid w:val="00166EC7"/>
    <w:rsid w:val="001764E6"/>
    <w:rsid w:val="00182391"/>
    <w:rsid w:val="001861D8"/>
    <w:rsid w:val="001B179F"/>
    <w:rsid w:val="001B1A30"/>
    <w:rsid w:val="001B2A0E"/>
    <w:rsid w:val="001B71E2"/>
    <w:rsid w:val="001C648E"/>
    <w:rsid w:val="001E3135"/>
    <w:rsid w:val="001E34C0"/>
    <w:rsid w:val="00201C86"/>
    <w:rsid w:val="0020372B"/>
    <w:rsid w:val="00205E77"/>
    <w:rsid w:val="00222F46"/>
    <w:rsid w:val="00233A5B"/>
    <w:rsid w:val="00243305"/>
    <w:rsid w:val="00243F6C"/>
    <w:rsid w:val="0024642B"/>
    <w:rsid w:val="0026662B"/>
    <w:rsid w:val="00266C31"/>
    <w:rsid w:val="0027067E"/>
    <w:rsid w:val="00271220"/>
    <w:rsid w:val="00273FA0"/>
    <w:rsid w:val="00274B7C"/>
    <w:rsid w:val="0028152F"/>
    <w:rsid w:val="00282F63"/>
    <w:rsid w:val="0028388D"/>
    <w:rsid w:val="00287808"/>
    <w:rsid w:val="002A189D"/>
    <w:rsid w:val="002A2421"/>
    <w:rsid w:val="002B6E5D"/>
    <w:rsid w:val="002C3620"/>
    <w:rsid w:val="002C69C2"/>
    <w:rsid w:val="002C6FFD"/>
    <w:rsid w:val="002D02F5"/>
    <w:rsid w:val="002F065A"/>
    <w:rsid w:val="002F45AD"/>
    <w:rsid w:val="00300D06"/>
    <w:rsid w:val="00302A1E"/>
    <w:rsid w:val="00311A8D"/>
    <w:rsid w:val="003125E2"/>
    <w:rsid w:val="00320742"/>
    <w:rsid w:val="0032579B"/>
    <w:rsid w:val="00333466"/>
    <w:rsid w:val="00340A77"/>
    <w:rsid w:val="003428B6"/>
    <w:rsid w:val="00351BCF"/>
    <w:rsid w:val="00356C6E"/>
    <w:rsid w:val="00357014"/>
    <w:rsid w:val="003725A0"/>
    <w:rsid w:val="003A0AB4"/>
    <w:rsid w:val="003A4337"/>
    <w:rsid w:val="003A758C"/>
    <w:rsid w:val="003B0BE5"/>
    <w:rsid w:val="003B7A32"/>
    <w:rsid w:val="003D2780"/>
    <w:rsid w:val="003D58D8"/>
    <w:rsid w:val="003D7B01"/>
    <w:rsid w:val="003E27EB"/>
    <w:rsid w:val="003E4C37"/>
    <w:rsid w:val="003E4EFB"/>
    <w:rsid w:val="003E541F"/>
    <w:rsid w:val="003F397E"/>
    <w:rsid w:val="0040130C"/>
    <w:rsid w:val="004018F1"/>
    <w:rsid w:val="00410A16"/>
    <w:rsid w:val="00411D4D"/>
    <w:rsid w:val="004232F8"/>
    <w:rsid w:val="004409F9"/>
    <w:rsid w:val="004433C1"/>
    <w:rsid w:val="00450643"/>
    <w:rsid w:val="0046470C"/>
    <w:rsid w:val="0046512D"/>
    <w:rsid w:val="0046605A"/>
    <w:rsid w:val="00480553"/>
    <w:rsid w:val="00485109"/>
    <w:rsid w:val="00490E01"/>
    <w:rsid w:val="00494AD3"/>
    <w:rsid w:val="004A4DD4"/>
    <w:rsid w:val="004B1900"/>
    <w:rsid w:val="004B41C9"/>
    <w:rsid w:val="004C7AFC"/>
    <w:rsid w:val="004D259A"/>
    <w:rsid w:val="004D3604"/>
    <w:rsid w:val="004D7731"/>
    <w:rsid w:val="004E1B12"/>
    <w:rsid w:val="004F16CE"/>
    <w:rsid w:val="004F25C7"/>
    <w:rsid w:val="004F5D59"/>
    <w:rsid w:val="00500E7B"/>
    <w:rsid w:val="00521312"/>
    <w:rsid w:val="00524766"/>
    <w:rsid w:val="005431F6"/>
    <w:rsid w:val="00543284"/>
    <w:rsid w:val="0054538E"/>
    <w:rsid w:val="005569D9"/>
    <w:rsid w:val="00563718"/>
    <w:rsid w:val="0056627C"/>
    <w:rsid w:val="005832D8"/>
    <w:rsid w:val="00584EED"/>
    <w:rsid w:val="005B1F93"/>
    <w:rsid w:val="005C341A"/>
    <w:rsid w:val="005E060C"/>
    <w:rsid w:val="005F78EF"/>
    <w:rsid w:val="005F7C71"/>
    <w:rsid w:val="00605014"/>
    <w:rsid w:val="00626C64"/>
    <w:rsid w:val="0063525C"/>
    <w:rsid w:val="006434E1"/>
    <w:rsid w:val="006533A7"/>
    <w:rsid w:val="0065450F"/>
    <w:rsid w:val="00660EBC"/>
    <w:rsid w:val="00664F74"/>
    <w:rsid w:val="0066563B"/>
    <w:rsid w:val="006701DB"/>
    <w:rsid w:val="0067061F"/>
    <w:rsid w:val="00687C31"/>
    <w:rsid w:val="00693DEB"/>
    <w:rsid w:val="00694384"/>
    <w:rsid w:val="00694FEE"/>
    <w:rsid w:val="006955E6"/>
    <w:rsid w:val="00697702"/>
    <w:rsid w:val="006A000E"/>
    <w:rsid w:val="006A637D"/>
    <w:rsid w:val="006B3582"/>
    <w:rsid w:val="006C08F8"/>
    <w:rsid w:val="006C6481"/>
    <w:rsid w:val="006C6A7F"/>
    <w:rsid w:val="006D0014"/>
    <w:rsid w:val="006D38AA"/>
    <w:rsid w:val="006D49CE"/>
    <w:rsid w:val="006D6957"/>
    <w:rsid w:val="006E222C"/>
    <w:rsid w:val="006E2D81"/>
    <w:rsid w:val="006F178E"/>
    <w:rsid w:val="006F2B96"/>
    <w:rsid w:val="006F3326"/>
    <w:rsid w:val="00704B40"/>
    <w:rsid w:val="00712385"/>
    <w:rsid w:val="0071268C"/>
    <w:rsid w:val="00713068"/>
    <w:rsid w:val="007210ED"/>
    <w:rsid w:val="00726069"/>
    <w:rsid w:val="00726612"/>
    <w:rsid w:val="00727FEB"/>
    <w:rsid w:val="007448B8"/>
    <w:rsid w:val="00756094"/>
    <w:rsid w:val="00757176"/>
    <w:rsid w:val="00760D8C"/>
    <w:rsid w:val="00773734"/>
    <w:rsid w:val="00775789"/>
    <w:rsid w:val="00777828"/>
    <w:rsid w:val="00780448"/>
    <w:rsid w:val="007A3405"/>
    <w:rsid w:val="007A34D3"/>
    <w:rsid w:val="007A55EF"/>
    <w:rsid w:val="007A59EE"/>
    <w:rsid w:val="007B6E96"/>
    <w:rsid w:val="007B72E9"/>
    <w:rsid w:val="007C3393"/>
    <w:rsid w:val="007D5041"/>
    <w:rsid w:val="007D6560"/>
    <w:rsid w:val="007E24D4"/>
    <w:rsid w:val="007E705B"/>
    <w:rsid w:val="007E71BC"/>
    <w:rsid w:val="007F217F"/>
    <w:rsid w:val="008078DF"/>
    <w:rsid w:val="0081441F"/>
    <w:rsid w:val="00841297"/>
    <w:rsid w:val="00861E2C"/>
    <w:rsid w:val="008758EE"/>
    <w:rsid w:val="008833A2"/>
    <w:rsid w:val="008859B1"/>
    <w:rsid w:val="00886656"/>
    <w:rsid w:val="0088798C"/>
    <w:rsid w:val="00890A6E"/>
    <w:rsid w:val="008929D7"/>
    <w:rsid w:val="008975A8"/>
    <w:rsid w:val="008A5CA2"/>
    <w:rsid w:val="008B00A4"/>
    <w:rsid w:val="008C50DD"/>
    <w:rsid w:val="008D216C"/>
    <w:rsid w:val="008E3194"/>
    <w:rsid w:val="008E3A61"/>
    <w:rsid w:val="008F3EE3"/>
    <w:rsid w:val="00900018"/>
    <w:rsid w:val="00905610"/>
    <w:rsid w:val="0091296F"/>
    <w:rsid w:val="00931F28"/>
    <w:rsid w:val="009338A8"/>
    <w:rsid w:val="009400A0"/>
    <w:rsid w:val="00940BDF"/>
    <w:rsid w:val="009432A3"/>
    <w:rsid w:val="00953C89"/>
    <w:rsid w:val="00960AA7"/>
    <w:rsid w:val="0097056E"/>
    <w:rsid w:val="009762B3"/>
    <w:rsid w:val="00980CFC"/>
    <w:rsid w:val="009A01F5"/>
    <w:rsid w:val="009A04EA"/>
    <w:rsid w:val="009A5C97"/>
    <w:rsid w:val="009B678D"/>
    <w:rsid w:val="009B7FDC"/>
    <w:rsid w:val="009C1426"/>
    <w:rsid w:val="009C613A"/>
    <w:rsid w:val="009C7AEB"/>
    <w:rsid w:val="009D49B5"/>
    <w:rsid w:val="009E0076"/>
    <w:rsid w:val="009E7996"/>
    <w:rsid w:val="009F206D"/>
    <w:rsid w:val="00A11875"/>
    <w:rsid w:val="00A2055A"/>
    <w:rsid w:val="00A24E3C"/>
    <w:rsid w:val="00A27732"/>
    <w:rsid w:val="00A338DE"/>
    <w:rsid w:val="00A36AA2"/>
    <w:rsid w:val="00A448A0"/>
    <w:rsid w:val="00A506F1"/>
    <w:rsid w:val="00A54740"/>
    <w:rsid w:val="00A7201E"/>
    <w:rsid w:val="00A763B3"/>
    <w:rsid w:val="00A82CEF"/>
    <w:rsid w:val="00A938B3"/>
    <w:rsid w:val="00AB6728"/>
    <w:rsid w:val="00AB7C79"/>
    <w:rsid w:val="00AC707D"/>
    <w:rsid w:val="00AD4248"/>
    <w:rsid w:val="00AD7691"/>
    <w:rsid w:val="00AE3496"/>
    <w:rsid w:val="00AE5E4A"/>
    <w:rsid w:val="00AF63C9"/>
    <w:rsid w:val="00B04A3C"/>
    <w:rsid w:val="00B04D25"/>
    <w:rsid w:val="00B06AD6"/>
    <w:rsid w:val="00B1136E"/>
    <w:rsid w:val="00B156F8"/>
    <w:rsid w:val="00B21FD5"/>
    <w:rsid w:val="00B30940"/>
    <w:rsid w:val="00B32207"/>
    <w:rsid w:val="00B4128F"/>
    <w:rsid w:val="00B42E44"/>
    <w:rsid w:val="00B43A19"/>
    <w:rsid w:val="00B43AAB"/>
    <w:rsid w:val="00B50211"/>
    <w:rsid w:val="00B64222"/>
    <w:rsid w:val="00B90254"/>
    <w:rsid w:val="00B973E4"/>
    <w:rsid w:val="00BA1EBA"/>
    <w:rsid w:val="00BA26B4"/>
    <w:rsid w:val="00BA3E42"/>
    <w:rsid w:val="00BC279C"/>
    <w:rsid w:val="00BC4C2C"/>
    <w:rsid w:val="00BC7246"/>
    <w:rsid w:val="00BD26C0"/>
    <w:rsid w:val="00BD409C"/>
    <w:rsid w:val="00BD549E"/>
    <w:rsid w:val="00BD591A"/>
    <w:rsid w:val="00BD5C79"/>
    <w:rsid w:val="00BF69D6"/>
    <w:rsid w:val="00C06259"/>
    <w:rsid w:val="00C17539"/>
    <w:rsid w:val="00C20613"/>
    <w:rsid w:val="00C32080"/>
    <w:rsid w:val="00C44ACF"/>
    <w:rsid w:val="00C55FA5"/>
    <w:rsid w:val="00C56069"/>
    <w:rsid w:val="00C6141A"/>
    <w:rsid w:val="00C645AE"/>
    <w:rsid w:val="00C66FEC"/>
    <w:rsid w:val="00C82A1D"/>
    <w:rsid w:val="00C8768F"/>
    <w:rsid w:val="00C906A1"/>
    <w:rsid w:val="00C9724B"/>
    <w:rsid w:val="00CA3150"/>
    <w:rsid w:val="00CB18FA"/>
    <w:rsid w:val="00CB5DA4"/>
    <w:rsid w:val="00CC21EE"/>
    <w:rsid w:val="00CD52C5"/>
    <w:rsid w:val="00CE3F59"/>
    <w:rsid w:val="00CE62D4"/>
    <w:rsid w:val="00CF6FA7"/>
    <w:rsid w:val="00D12A91"/>
    <w:rsid w:val="00D15CC8"/>
    <w:rsid w:val="00D16EE2"/>
    <w:rsid w:val="00D17DA0"/>
    <w:rsid w:val="00D215E4"/>
    <w:rsid w:val="00D276B2"/>
    <w:rsid w:val="00D345F4"/>
    <w:rsid w:val="00D3650E"/>
    <w:rsid w:val="00D62452"/>
    <w:rsid w:val="00D71A91"/>
    <w:rsid w:val="00D71B7E"/>
    <w:rsid w:val="00D857ED"/>
    <w:rsid w:val="00DA497D"/>
    <w:rsid w:val="00DC6952"/>
    <w:rsid w:val="00DD0209"/>
    <w:rsid w:val="00DD1BFF"/>
    <w:rsid w:val="00DD6BC3"/>
    <w:rsid w:val="00DD7A43"/>
    <w:rsid w:val="00DD7FBA"/>
    <w:rsid w:val="00DE05ED"/>
    <w:rsid w:val="00DE1D12"/>
    <w:rsid w:val="00DF0AF8"/>
    <w:rsid w:val="00DF6DBA"/>
    <w:rsid w:val="00E0006C"/>
    <w:rsid w:val="00E034CB"/>
    <w:rsid w:val="00E07D52"/>
    <w:rsid w:val="00E2790A"/>
    <w:rsid w:val="00E30A19"/>
    <w:rsid w:val="00E33792"/>
    <w:rsid w:val="00E33921"/>
    <w:rsid w:val="00E34BD0"/>
    <w:rsid w:val="00E3754B"/>
    <w:rsid w:val="00E4309F"/>
    <w:rsid w:val="00E6034D"/>
    <w:rsid w:val="00E663AC"/>
    <w:rsid w:val="00E769CB"/>
    <w:rsid w:val="00E8224A"/>
    <w:rsid w:val="00E82D0C"/>
    <w:rsid w:val="00EA1710"/>
    <w:rsid w:val="00ED41A8"/>
    <w:rsid w:val="00ED4D81"/>
    <w:rsid w:val="00ED6F74"/>
    <w:rsid w:val="00EE2B9C"/>
    <w:rsid w:val="00EF1436"/>
    <w:rsid w:val="00EF33DF"/>
    <w:rsid w:val="00EF3475"/>
    <w:rsid w:val="00EF4392"/>
    <w:rsid w:val="00F04195"/>
    <w:rsid w:val="00F04F78"/>
    <w:rsid w:val="00F14BB8"/>
    <w:rsid w:val="00F16E3E"/>
    <w:rsid w:val="00F25A3C"/>
    <w:rsid w:val="00F317E1"/>
    <w:rsid w:val="00F5082B"/>
    <w:rsid w:val="00F52402"/>
    <w:rsid w:val="00F53607"/>
    <w:rsid w:val="00F537A9"/>
    <w:rsid w:val="00F60081"/>
    <w:rsid w:val="00F607E4"/>
    <w:rsid w:val="00F80836"/>
    <w:rsid w:val="00F9024D"/>
    <w:rsid w:val="00F945BC"/>
    <w:rsid w:val="00F960C8"/>
    <w:rsid w:val="00FA70E0"/>
    <w:rsid w:val="00FB3F56"/>
    <w:rsid w:val="00FC10BE"/>
    <w:rsid w:val="00FC7F94"/>
    <w:rsid w:val="00FF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FFC9A"/>
  <w15:chartTrackingRefBased/>
  <w15:docId w15:val="{C7C83369-A131-4660-96A6-9F60CE20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16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2E44"/>
    <w:rPr>
      <w:i/>
      <w:iCs/>
    </w:rPr>
  </w:style>
  <w:style w:type="table" w:styleId="TableGrid">
    <w:name w:val="Table Grid"/>
    <w:basedOn w:val="TableNormal"/>
    <w:uiPriority w:val="39"/>
    <w:rsid w:val="005F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8F1"/>
    <w:rPr>
      <w:color w:val="0563C1" w:themeColor="hyperlink"/>
      <w:u w:val="single"/>
    </w:rPr>
  </w:style>
  <w:style w:type="paragraph" w:styleId="BalloonText">
    <w:name w:val="Balloon Text"/>
    <w:basedOn w:val="Normal"/>
    <w:link w:val="BalloonTextChar"/>
    <w:uiPriority w:val="99"/>
    <w:semiHidden/>
    <w:unhideWhenUsed/>
    <w:rsid w:val="008C5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0DD"/>
    <w:rPr>
      <w:rFonts w:ascii="Segoe UI" w:hAnsi="Segoe UI" w:cs="Segoe UI"/>
      <w:sz w:val="18"/>
      <w:szCs w:val="18"/>
    </w:rPr>
  </w:style>
  <w:style w:type="paragraph" w:styleId="ListParagraph">
    <w:name w:val="List Paragraph"/>
    <w:basedOn w:val="Normal"/>
    <w:uiPriority w:val="34"/>
    <w:qFormat/>
    <w:rsid w:val="005F7C71"/>
    <w:pPr>
      <w:ind w:left="720"/>
      <w:contextualSpacing/>
    </w:pPr>
  </w:style>
  <w:style w:type="paragraph" w:styleId="FootnoteText">
    <w:name w:val="footnote text"/>
    <w:basedOn w:val="Normal"/>
    <w:link w:val="FootnoteTextChar"/>
    <w:uiPriority w:val="99"/>
    <w:semiHidden/>
    <w:unhideWhenUsed/>
    <w:rsid w:val="004F16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6CE"/>
    <w:rPr>
      <w:sz w:val="20"/>
      <w:szCs w:val="20"/>
    </w:rPr>
  </w:style>
  <w:style w:type="character" w:styleId="FootnoteReference">
    <w:name w:val="footnote reference"/>
    <w:basedOn w:val="DefaultParagraphFont"/>
    <w:uiPriority w:val="99"/>
    <w:semiHidden/>
    <w:unhideWhenUsed/>
    <w:rsid w:val="004F16CE"/>
    <w:rPr>
      <w:vertAlign w:val="superscript"/>
    </w:rPr>
  </w:style>
  <w:style w:type="character" w:customStyle="1" w:styleId="Heading1Char">
    <w:name w:val="Heading 1 Char"/>
    <w:basedOn w:val="DefaultParagraphFont"/>
    <w:link w:val="Heading1"/>
    <w:uiPriority w:val="9"/>
    <w:rsid w:val="004F16CE"/>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60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7E4"/>
  </w:style>
  <w:style w:type="paragraph" w:styleId="Footer">
    <w:name w:val="footer"/>
    <w:basedOn w:val="Normal"/>
    <w:link w:val="FooterChar"/>
    <w:uiPriority w:val="99"/>
    <w:unhideWhenUsed/>
    <w:rsid w:val="00F60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7E4"/>
  </w:style>
  <w:style w:type="character" w:styleId="FollowedHyperlink">
    <w:name w:val="FollowedHyperlink"/>
    <w:basedOn w:val="DefaultParagraphFont"/>
    <w:uiPriority w:val="99"/>
    <w:semiHidden/>
    <w:unhideWhenUsed/>
    <w:rsid w:val="006533A7"/>
    <w:rPr>
      <w:color w:val="954F72" w:themeColor="followedHyperlink"/>
      <w:u w:val="single"/>
    </w:rPr>
  </w:style>
  <w:style w:type="character" w:styleId="PlaceholderText">
    <w:name w:val="Placeholder Text"/>
    <w:basedOn w:val="DefaultParagraphFont"/>
    <w:uiPriority w:val="99"/>
    <w:semiHidden/>
    <w:rsid w:val="00D62452"/>
    <w:rPr>
      <w:color w:val="808080"/>
    </w:rPr>
  </w:style>
  <w:style w:type="paragraph" w:customStyle="1" w:styleId="ETFBodyText">
    <w:name w:val="ETF Body Text"/>
    <w:basedOn w:val="Normal"/>
    <w:autoRedefine/>
    <w:rsid w:val="00D62452"/>
    <w:pPr>
      <w:tabs>
        <w:tab w:val="left" w:pos="1440"/>
        <w:tab w:val="left" w:pos="2160"/>
        <w:tab w:val="left" w:pos="2880"/>
        <w:tab w:val="left" w:pos="4680"/>
        <w:tab w:val="left" w:pos="5400"/>
        <w:tab w:val="right" w:pos="9000"/>
      </w:tabs>
      <w:spacing w:before="60" w:after="60" w:line="288" w:lineRule="auto"/>
    </w:pPr>
    <w:rPr>
      <w:rFonts w:ascii="Arial" w:hAnsi="Arial" w:cs="Arial"/>
      <w:color w:val="45555F"/>
      <w:sz w:val="20"/>
      <w:szCs w:val="20"/>
    </w:rPr>
  </w:style>
  <w:style w:type="character" w:styleId="CommentReference">
    <w:name w:val="annotation reference"/>
    <w:basedOn w:val="DefaultParagraphFont"/>
    <w:uiPriority w:val="99"/>
    <w:semiHidden/>
    <w:unhideWhenUsed/>
    <w:rsid w:val="00BC4C2C"/>
    <w:rPr>
      <w:sz w:val="16"/>
      <w:szCs w:val="16"/>
    </w:rPr>
  </w:style>
  <w:style w:type="paragraph" w:styleId="CommentText">
    <w:name w:val="annotation text"/>
    <w:basedOn w:val="Normal"/>
    <w:link w:val="CommentTextChar"/>
    <w:uiPriority w:val="99"/>
    <w:semiHidden/>
    <w:unhideWhenUsed/>
    <w:rsid w:val="00BC4C2C"/>
    <w:pPr>
      <w:spacing w:line="240" w:lineRule="auto"/>
    </w:pPr>
    <w:rPr>
      <w:sz w:val="20"/>
      <w:szCs w:val="20"/>
    </w:rPr>
  </w:style>
  <w:style w:type="character" w:customStyle="1" w:styleId="CommentTextChar">
    <w:name w:val="Comment Text Char"/>
    <w:basedOn w:val="DefaultParagraphFont"/>
    <w:link w:val="CommentText"/>
    <w:uiPriority w:val="99"/>
    <w:semiHidden/>
    <w:rsid w:val="00BC4C2C"/>
    <w:rPr>
      <w:sz w:val="20"/>
      <w:szCs w:val="20"/>
    </w:rPr>
  </w:style>
  <w:style w:type="paragraph" w:styleId="CommentSubject">
    <w:name w:val="annotation subject"/>
    <w:basedOn w:val="CommentText"/>
    <w:next w:val="CommentText"/>
    <w:link w:val="CommentSubjectChar"/>
    <w:uiPriority w:val="99"/>
    <w:semiHidden/>
    <w:unhideWhenUsed/>
    <w:rsid w:val="00BC4C2C"/>
    <w:rPr>
      <w:b/>
      <w:bCs/>
    </w:rPr>
  </w:style>
  <w:style w:type="character" w:customStyle="1" w:styleId="CommentSubjectChar">
    <w:name w:val="Comment Subject Char"/>
    <w:basedOn w:val="CommentTextChar"/>
    <w:link w:val="CommentSubject"/>
    <w:uiPriority w:val="99"/>
    <w:semiHidden/>
    <w:rsid w:val="00BC4C2C"/>
    <w:rPr>
      <w:b/>
      <w:bCs/>
      <w:sz w:val="20"/>
      <w:szCs w:val="20"/>
    </w:rPr>
  </w:style>
  <w:style w:type="paragraph" w:customStyle="1" w:styleId="Default">
    <w:name w:val="Default"/>
    <w:rsid w:val="009A04EA"/>
    <w:pPr>
      <w:autoSpaceDE w:val="0"/>
      <w:autoSpaceDN w:val="0"/>
      <w:adjustRightInd w:val="0"/>
      <w:spacing w:after="0" w:line="240" w:lineRule="auto"/>
    </w:pPr>
    <w:rPr>
      <w:rFonts w:ascii="Verdana" w:hAnsi="Verdana" w:cs="Verdana"/>
      <w:color w:val="000000"/>
      <w:sz w:val="24"/>
      <w:szCs w:val="24"/>
      <w:lang w:val="fr-FR"/>
    </w:rPr>
  </w:style>
  <w:style w:type="table" w:styleId="GridTable5Dark-Accent1">
    <w:name w:val="Grid Table 5 Dark Accent 1"/>
    <w:basedOn w:val="TableNormal"/>
    <w:uiPriority w:val="50"/>
    <w:rsid w:val="009A0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9A04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297">
      <w:bodyDiv w:val="1"/>
      <w:marLeft w:val="0"/>
      <w:marRight w:val="0"/>
      <w:marTop w:val="0"/>
      <w:marBottom w:val="0"/>
      <w:divBdr>
        <w:top w:val="none" w:sz="0" w:space="0" w:color="auto"/>
        <w:left w:val="none" w:sz="0" w:space="0" w:color="auto"/>
        <w:bottom w:val="none" w:sz="0" w:space="0" w:color="auto"/>
        <w:right w:val="none" w:sz="0" w:space="0" w:color="auto"/>
      </w:divBdr>
    </w:div>
    <w:div w:id="1288775330">
      <w:bodyDiv w:val="1"/>
      <w:marLeft w:val="0"/>
      <w:marRight w:val="0"/>
      <w:marTop w:val="0"/>
      <w:marBottom w:val="0"/>
      <w:divBdr>
        <w:top w:val="none" w:sz="0" w:space="0" w:color="auto"/>
        <w:left w:val="none" w:sz="0" w:space="0" w:color="auto"/>
        <w:bottom w:val="none" w:sz="0" w:space="0" w:color="auto"/>
        <w:right w:val="none" w:sz="0" w:space="0" w:color="auto"/>
      </w:divBdr>
    </w:div>
    <w:div w:id="1320578010">
      <w:bodyDiv w:val="1"/>
      <w:marLeft w:val="0"/>
      <w:marRight w:val="0"/>
      <w:marTop w:val="0"/>
      <w:marBottom w:val="0"/>
      <w:divBdr>
        <w:top w:val="none" w:sz="0" w:space="0" w:color="auto"/>
        <w:left w:val="none" w:sz="0" w:space="0" w:color="auto"/>
        <w:bottom w:val="none" w:sz="0" w:space="0" w:color="auto"/>
        <w:right w:val="none" w:sz="0" w:space="0" w:color="auto"/>
      </w:divBdr>
    </w:div>
    <w:div w:id="1464735883">
      <w:bodyDiv w:val="1"/>
      <w:marLeft w:val="0"/>
      <w:marRight w:val="0"/>
      <w:marTop w:val="0"/>
      <w:marBottom w:val="0"/>
      <w:divBdr>
        <w:top w:val="none" w:sz="0" w:space="0" w:color="auto"/>
        <w:left w:val="none" w:sz="0" w:space="0" w:color="auto"/>
        <w:bottom w:val="none" w:sz="0" w:space="0" w:color="auto"/>
        <w:right w:val="none" w:sz="0" w:space="0" w:color="auto"/>
      </w:divBdr>
    </w:div>
    <w:div w:id="1648898065">
      <w:bodyDiv w:val="1"/>
      <w:marLeft w:val="0"/>
      <w:marRight w:val="0"/>
      <w:marTop w:val="0"/>
      <w:marBottom w:val="0"/>
      <w:divBdr>
        <w:top w:val="none" w:sz="0" w:space="0" w:color="auto"/>
        <w:left w:val="none" w:sz="0" w:space="0" w:color="auto"/>
        <w:bottom w:val="none" w:sz="0" w:space="0" w:color="auto"/>
        <w:right w:val="none" w:sz="0" w:space="0" w:color="auto"/>
      </w:divBdr>
    </w:div>
    <w:div w:id="1684669972">
      <w:bodyDiv w:val="1"/>
      <w:marLeft w:val="0"/>
      <w:marRight w:val="0"/>
      <w:marTop w:val="0"/>
      <w:marBottom w:val="0"/>
      <w:divBdr>
        <w:top w:val="none" w:sz="0" w:space="0" w:color="auto"/>
        <w:left w:val="none" w:sz="0" w:space="0" w:color="auto"/>
        <w:bottom w:val="none" w:sz="0" w:space="0" w:color="auto"/>
        <w:right w:val="none" w:sz="0" w:space="0" w:color="auto"/>
      </w:divBdr>
    </w:div>
    <w:div w:id="17930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ntreComp@etf.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treComp@etf.europa.e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urveygizmo.com/s3/4294476/ETF-Entrepreneurship-Award-Webinar-regist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ec.europa.eu/jrc/en/publication/eur-scientific-and-technical-research-reports/entrecomp-entrepreneurship-competence-framework"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ec.europa.eu/social/vocational-skills-week/evsw2018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jrc/en/publication/eur-scientific-and-technical-research-reports/entrecomp-action-get-inspired-make-it-happen-user-guide-european-entrepreneurship-compete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perations Document" ma:contentTypeID="0x01010018C77CAB493C4CC28C851D171ACDEB5D0200826E317276852546843F45A993757954" ma:contentTypeVersion="39" ma:contentTypeDescription="Create a new Operations document" ma:contentTypeScope="" ma:versionID="3b422f5ce91df1285caf8cdb106a7310">
  <xsd:schema xmlns:xsd="http://www.w3.org/2001/XMLSchema" xmlns:xs="http://www.w3.org/2001/XMLSchema" xmlns:p="http://schemas.microsoft.com/office/2006/metadata/properties" xmlns:ns1="df6b2545-d15d-4d63-86ca-644416e434f8" xmlns:ns2="050d60c3-2824-4ecd-8f49-5c18b8d0bf5f" targetNamespace="http://schemas.microsoft.com/office/2006/metadata/properties" ma:root="true" ma:fieldsID="f1fea2012fb3436081c15074239b066c" ns1:_="" ns2:_="">
    <xsd:import namespace="df6b2545-d15d-4d63-86ca-644416e434f8"/>
    <xsd:import namespace="050d60c3-2824-4ecd-8f49-5c18b8d0bf5f"/>
    <xsd:element name="properties">
      <xsd:complexType>
        <xsd:sequence>
          <xsd:element name="documentManagement">
            <xsd:complexType>
              <xsd:all>
                <xsd:element ref="ns1:Operations_x0020_Document_x0020_Type"/>
                <xsd:element ref="ns2:OperationsSubArea"/>
                <xsd:element ref="ns2:ReferenceYear"/>
                <xsd:element ref="ns2:Authors" minOccurs="0"/>
                <xsd:element ref="ns2:ETFLanguage" minOccurs="0"/>
                <xsd:element ref="ns2:ReferenceNumber" minOccurs="0"/>
                <xsd:element ref="ns1:OPS_x0020_Tags" minOccurs="0"/>
                <xsd:element ref="ns2:Entrepreneurial_x0020_Keywords" minOccurs="0"/>
                <xsd:element ref="ns1:Countries" minOccurs="0"/>
                <xsd:element ref="ns1:Regions" minOccurs="0"/>
                <xsd:element ref="ns1:PA_EL" minOccurs="0"/>
                <xsd:element ref="ns1:Functions" minOccurs="0"/>
                <xsd:element ref="ns2:Status" minOccurs="0"/>
                <xsd:element ref="ns2:Origin" minOccurs="0"/>
                <xsd:element ref="ns1:General_x0020_Keywords"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Operations_x0020_Document_x0020_Type" ma:index="0" ma:displayName="Operations Document Type" ma:format="Dropdown" ma:internalName="Operations_x0020_Document_x0020_Type">
      <xsd:simpleType>
        <xsd:restriction base="dms:Choice">
          <xsd:enumeration value="Article"/>
          <xsd:enumeration value="Briefing"/>
          <xsd:enumeration value="Compendium"/>
          <xsd:enumeration value="Context mechanism outcome"/>
          <xsd:enumeration value="Country report"/>
          <xsd:enumeration value="Country fiche"/>
          <xsd:enumeration value="Country strategic perspective"/>
          <xsd:enumeration value="Employability fiche"/>
          <xsd:enumeration value="ETF assessment"/>
          <xsd:enumeration value="ETF review"/>
          <xsd:enumeration value="Formulation fiche"/>
          <xsd:enumeration value="Guide"/>
          <xsd:enumeration value="Identification fiche"/>
          <xsd:enumeration value="Information note"/>
          <xsd:enumeration value="Key indicators"/>
          <xsd:enumeration value="KIESE"/>
          <xsd:enumeration value="Methodology"/>
          <xsd:enumeration value="Note"/>
          <xsd:enumeration value="Policy"/>
          <xsd:enumeration value="Policy brief"/>
          <xsd:enumeration value="Position paper"/>
          <xsd:enumeration value="Project assessment"/>
          <xsd:enumeration value="Project implementation plan"/>
          <xsd:enumeration value="Project leaflet"/>
          <xsd:enumeration value="Publication"/>
          <xsd:enumeration value="Reference document"/>
          <xsd:enumeration value="Region report"/>
          <xsd:enumeration value="Region fiche"/>
          <xsd:enumeration value="Report"/>
          <xsd:enumeration value="Statistical annex"/>
          <xsd:enumeration value="Statistics report"/>
          <xsd:enumeration value="Study"/>
          <xsd:enumeration value="Terms of reference"/>
          <xsd:enumeration value="Thematic paper"/>
          <xsd:enumeration value="Toolkit"/>
          <xsd:enumeration value="TRP annex"/>
          <xsd:enumeration value="Working paper"/>
        </xsd:restriction>
      </xsd:simpleType>
    </xsd:element>
    <xsd:element name="OPS_x0020_Tags" ma:index="8" nillable="true" ma:displayName="OPS Tags" ma:internalName="OPS_x0020_Tags" ma:requiredMultiChoice="true">
      <xsd:complexType>
        <xsd:complexContent>
          <xsd:extension base="dms:MultiChoice">
            <xsd:sequence>
              <xsd:element name="Value" maxOccurs="unbounded" minOccurs="0" nillable="true">
                <xsd:simpleType>
                  <xsd:restriction base="dms:Choice">
                    <xsd:enumeration value="Competences"/>
                    <xsd:enumeration value="CVET and adult learning"/>
                    <xsd:enumeration value="Education and business"/>
                    <xsd:enumeration value="Employment and labour market"/>
                    <xsd:enumeration value="Enterprise skills"/>
                    <xsd:enumeration value="Entrepreneurial learning"/>
                    <xsd:enumeration value="Governance and LLL"/>
                    <xsd:enumeration value="Guidance"/>
                    <xsd:enumeration value="Indicators"/>
                    <xsd:enumeration value="Matching and anticipation of skills"/>
                    <xsd:enumeration value="Migration and skills"/>
                    <xsd:enumeration value="Qualifications"/>
                    <xsd:enumeration value="Quality in VET"/>
                    <xsd:enumeration value="Social partnership"/>
                    <xsd:enumeration value="Teaching and learning"/>
                    <xsd:enumeration value="Validation of prior learning"/>
                    <xsd:enumeration value="VET and social inclusion"/>
                    <xsd:enumeration value="VET and sustainable development"/>
                    <xsd:enumeration value="VET system assessment"/>
                    <xsd:enumeration value="Not Applicable"/>
                  </xsd:restriction>
                </xsd:simpleType>
              </xsd:element>
            </xsd:sequence>
          </xsd:extension>
        </xsd:complexContent>
      </xsd:complexType>
    </xsd:element>
    <xsd:element name="Countries" ma:index="10" nillable="true" ma:displayName="Countries" ma:list="{9194351c-4b7d-432a-9a74-6cfaf37d5a5a}" ma:internalName="Countries"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1" nillable="true" ma:displayName="Regions" ma:default="Not Applicable" ma:internalName="Regions"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PA_EL" ma:index="12" nillable="true" ma:displayName="Project Activity" ma:list="{8b232e82-f23a-4f58-9337-9e613eb3e276}" ma:internalName="PA_EL" ma:showField="Title" ma:web="df6b2545-d15d-4d63-86ca-644416e434f8">
      <xsd:simpleType>
        <xsd:restriction base="dms:Lookup"/>
      </xsd:simpleType>
    </xsd:element>
    <xsd:element name="Functions" ma:index="13" nillable="true" ma:displayName="Functions" ma:internalName="Functions">
      <xsd:complexType>
        <xsd:complexContent>
          <xsd:extension base="dms:MultiChoice">
            <xsd:sequence>
              <xsd:element name="Value" maxOccurs="unbounded" minOccurs="0" nillable="true">
                <xsd:simpleType>
                  <xsd:restriction base="dms:Choice">
                    <xsd:enumeration value="F1 Input to the Commission"/>
                    <xsd:enumeration value="F2 Capacity building"/>
                    <xsd:enumeration value="F3 Policy analysis"/>
                    <xsd:enumeration value="F4 Dissemination and networking"/>
                  </xsd:restriction>
                </xsd:simpleType>
              </xsd:element>
            </xsd:sequence>
          </xsd:extension>
        </xsd:complexContent>
      </xsd:complexType>
    </xsd:element>
    <xsd:element name="General_x0020_Keywords" ma:index="2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0d60c3-2824-4ecd-8f49-5c18b8d0bf5f"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8"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Entrepreneurial_x0020_Keywords" ma:index="9" nillable="true" ma:displayName="Entrepreneurial Keywords" ma:internalName="Entrepreneurial_x0020_Keywords">
      <xsd:complexType>
        <xsd:complexContent>
          <xsd:extension base="dms:MultiChoice">
            <xsd:sequence>
              <xsd:element name="Value" maxOccurs="unbounded" minOccurs="0" nillable="true">
                <xsd:simpleType>
                  <xsd:restriction base="dms:Choice">
                    <xsd:enumeration value="Entrepreneurial Learning"/>
                    <xsd:enumeration value="SBA assessment"/>
                    <xsd:enumeration value="SBA follow-up"/>
                    <xsd:enumeration value="Good practice"/>
                    <xsd:enumeration value="EU support"/>
                    <xsd:enumeration value="EL communications"/>
                    <xsd:enumeration value="Competitiveness"/>
                    <xsd:enumeration value="Employability"/>
                    <xsd:enumeration value="Key competence"/>
                    <xsd:enumeration value="Indicators"/>
                    <xsd:enumeration value="Peer learning"/>
                    <xsd:enumeration value="Skills forecasting"/>
                    <xsd:enumeration value="Women"/>
                    <xsd:enumeration value="Youth"/>
                    <xsd:enumeration value="Growth"/>
                  </xsd:restriction>
                </xsd:simpleType>
              </xsd:element>
            </xsd:sequence>
          </xsd:extension>
        </xsd:complexContent>
      </xsd:complexType>
    </xsd:element>
    <xsd:element name="Status" ma:index="14" nillable="true" ma:displayName="Status" ma:hidden="true" ma:internalName="Status" ma:readOnly="false">
      <xsd:simpleType>
        <xsd:restriction base="dms:Choice">
          <xsd:enumeration value="Draft"/>
          <xsd:enumeration value="Final"/>
          <xsd:enumeration value="Expired"/>
        </xsd:restriction>
      </xsd:simpleType>
    </xsd:element>
    <xsd:element name="Origin" ma:index="15" nillable="true" ma:displayName="Origin" ma:hidden="true" ma:internalName="Origin" ma:readOnly="false">
      <xsd:simpleType>
        <xsd:restriction base="dms:Choice">
          <xsd:enumeration value="ETF"/>
          <xsd:enumeration value="External"/>
          <xsd:enumeration value="Com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S_x0020_Tags xmlns="df6b2545-d15d-4d63-86ca-644416e434f8">
      <Value>Competences</Value>
      <Value>Entrepreneurial learning</Value>
      <Value>Teaching and learning</Value>
    </OPS_x0020_Tags>
    <PA_EL xmlns="df6b2545-d15d-4d63-86ca-644416e434f8">11</PA_EL>
    <Operations_x0020_Document_x0020_Type xmlns="df6b2545-d15d-4d63-86ca-644416e434f8">Note</Operations_x0020_Document_x0020_Type>
    <Countries xmlns="df6b2545-d15d-4d63-86ca-644416e434f8">
      <Value>231</Value>
    </Countries>
    <ReferenceYear xmlns="050d60c3-2824-4ecd-8f49-5c18b8d0bf5f">2018</ReferenceYear>
    <Regions xmlns="df6b2545-d15d-4d63-86ca-644416e434f8">
      <Value>Not Applicable</Value>
    </Regions>
    <Functions xmlns="df6b2545-d15d-4d63-86ca-644416e434f8">
      <Value>F4 Dissemination and networking</Value>
    </Functions>
    <Status xmlns="050d60c3-2824-4ecd-8f49-5c18b8d0bf5f" xsi:nil="true"/>
    <Origin xmlns="050d60c3-2824-4ecd-8f49-5c18b8d0bf5f" xsi:nil="true"/>
    <ReferenceNumber xmlns="050d60c3-2824-4ecd-8f49-5c18b8d0bf5f" xsi:nil="true"/>
    <Authors xmlns="050d60c3-2824-4ecd-8f49-5c18b8d0bf5f" xsi:nil="true"/>
    <ETFLanguage xmlns="050d60c3-2824-4ecd-8f49-5c18b8d0bf5f">English</ETFLanguage>
    <Entrepreneurial_x0020_Keywords xmlns="050d60c3-2824-4ecd-8f49-5c18b8d0bf5f">
      <Value>Entrepreneurial Learning</Value>
    </Entrepreneurial_x0020_Keywords>
    <General_x0020_Keywords xmlns="df6b2545-d15d-4d63-86ca-644416e434f8"/>
    <OperationsSubArea xmlns="050d60c3-2824-4ecd-8f49-5c18b8d0bf5f">Entrepreneurial learning and enterprise skills</OperationsSubArea>
    <_dlc_DocId xmlns="df6b2545-d15d-4d63-86ca-644416e434f8">ETFDMS-1299117500-1285</_dlc_DocId>
    <_dlc_DocIdUrl xmlns="df6b2545-d15d-4d63-86ca-644416e434f8">
      <Url>https://sharing.etf.europa.eu/sites/dms/ops/el/_layouts/15/DocIdRedir.aspx?ID=ETFDMS-1299117500-1285</Url>
      <Description>ETFDMS-1299117500-1285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D2B0-B088-4A60-9E73-06352EC34E73}">
  <ds:schemaRefs>
    <ds:schemaRef ds:uri="http://schemas.microsoft.com/sharepoint/events"/>
  </ds:schemaRefs>
</ds:datastoreItem>
</file>

<file path=customXml/itemProps2.xml><?xml version="1.0" encoding="utf-8"?>
<ds:datastoreItem xmlns:ds="http://schemas.openxmlformats.org/officeDocument/2006/customXml" ds:itemID="{2717DFD0-9BD0-4EDE-BEC4-70C303AD4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050d60c3-2824-4ecd-8f49-5c18b8d0b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34B11-9F1A-49CB-8532-0EB9ED3AAA59}">
  <ds:schemaRefs>
    <ds:schemaRef ds:uri="http://schemas.microsoft.com/office/2006/metadata/properties"/>
    <ds:schemaRef ds:uri="http://schemas.microsoft.com/office/infopath/2007/PartnerControls"/>
    <ds:schemaRef ds:uri="df6b2545-d15d-4d63-86ca-644416e434f8"/>
    <ds:schemaRef ds:uri="050d60c3-2824-4ecd-8f49-5c18b8d0bf5f"/>
  </ds:schemaRefs>
</ds:datastoreItem>
</file>

<file path=customXml/itemProps4.xml><?xml version="1.0" encoding="utf-8"?>
<ds:datastoreItem xmlns:ds="http://schemas.openxmlformats.org/officeDocument/2006/customXml" ds:itemID="{98096D42-013B-46C8-BDCB-C15E16C2FC78}">
  <ds:schemaRefs>
    <ds:schemaRef ds:uri="http://schemas.microsoft.com/sharepoint/v3/contenttype/forms"/>
  </ds:schemaRefs>
</ds:datastoreItem>
</file>

<file path=customXml/itemProps5.xml><?xml version="1.0" encoding="utf-8"?>
<ds:datastoreItem xmlns:ds="http://schemas.openxmlformats.org/officeDocument/2006/customXml" ds:itemID="{0E7664EF-98B5-4C43-89E1-2C4DEC47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2018 call_ETF Entrepreneurship Key Competence Award</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call_ETF Entrepreneurship Key Competence Award</dc:title>
  <dc:subject/>
  <dc:creator>Anthony Gribben</dc:creator>
  <cp:keywords/>
  <dc:description/>
  <cp:lastModifiedBy>Ana Brkic Djordjevic</cp:lastModifiedBy>
  <cp:revision>2</cp:revision>
  <cp:lastPrinted>2018-04-05T08:02:00Z</cp:lastPrinted>
  <dcterms:created xsi:type="dcterms:W3CDTF">2018-04-18T11:12:00Z</dcterms:created>
  <dcterms:modified xsi:type="dcterms:W3CDTF">2018-04-18T11:12:00Z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0x01010018C77CAB493C4CC28C851D171ACDEB5D0200826E317276852546843F45A993757954</vt:lpwstr>
  </property>
  <property fmtid="{D5CDD505-2E9C-101B-9397-08002B2CF9AE}" pid="3" name="Area">
    <vt:lpwstr>Operations</vt:lpwstr>
  </property>
  <property fmtid="{D5CDD505-2E9C-101B-9397-08002B2CF9AE}" pid="4" name="_dlc_DocIdItemGuid">
    <vt:lpwstr>dd72743c-0b5e-48e0-b80f-3a8077d3788f</vt:lpwstr>
  </property>
</Properties>
</file>