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3" w:rsidRPr="00790ACB" w:rsidRDefault="00663A53" w:rsidP="00663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На основу </w:t>
      </w:r>
      <w:hyperlink r:id="rId7" w:anchor="c0031" w:history="1">
        <w:r w:rsidRPr="00790ACB">
          <w:rPr>
            <w:rFonts w:ascii="Times New Roman" w:eastAsia="Times New Roman" w:hAnsi="Times New Roman" w:cs="Times New Roman"/>
            <w:sz w:val="24"/>
            <w:szCs w:val="24"/>
            <w:lang w:val="sr-Latn-RS" w:eastAsia="sr-Latn-RS"/>
          </w:rPr>
          <w:t xml:space="preserve">члана </w:t>
        </w:r>
        <w:r>
          <w:rPr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23</w:t>
        </w:r>
        <w:r w:rsidRPr="00790ACB">
          <w:rPr>
            <w:rFonts w:ascii="Times New Roman" w:eastAsia="Times New Roman" w:hAnsi="Times New Roman" w:cs="Times New Roman"/>
            <w:sz w:val="24"/>
            <w:szCs w:val="24"/>
            <w:lang w:val="sr-Latn-RS" w:eastAsia="sr-Latn-RS"/>
          </w:rPr>
          <w:t>.</w:t>
        </w:r>
      </w:hyperlink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члана 25. став 6. 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Закона о уџбеницима (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Службени гласник РС</w:t>
      </w:r>
      <w:r w:rsidRPr="00DA1B84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број </w:t>
      </w:r>
      <w:r w:rsidRPr="00790A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27/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18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), </w:t>
      </w:r>
    </w:p>
    <w:p w:rsidR="00663A53" w:rsidRPr="00790ACB" w:rsidRDefault="00663A53" w:rsidP="00663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proofErr w:type="spellStart"/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инистар</w:t>
      </w:r>
      <w:proofErr w:type="spellEnd"/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просвете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науке и технолошког развоја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доноси</w:t>
      </w:r>
    </w:p>
    <w:p w:rsidR="00663A53" w:rsidRDefault="00663A53" w:rsidP="00663A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663A53" w:rsidRDefault="00663A53" w:rsidP="00663A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A53" w:rsidRPr="00BA083B" w:rsidRDefault="00663A53" w:rsidP="00663A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A53" w:rsidRPr="00746FCD" w:rsidRDefault="00663A53" w:rsidP="00663A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ПРАВИЛНИК</w:t>
      </w:r>
    </w:p>
    <w:p w:rsidR="00663A53" w:rsidRPr="00746FCD" w:rsidRDefault="00663A53" w:rsidP="00663A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 БЛИЖИМ УСЛОВИМА И КРИТЕРИЈУМИМА </w:t>
      </w:r>
    </w:p>
    <w:p w:rsidR="00663A53" w:rsidRPr="003B2DEA" w:rsidRDefault="00663A53" w:rsidP="00663A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ИЗБОР ДРУГИХ СТРУЧНИХ ЛИЦА И ЧЛАНОВА КОМИСИЈЕ ЗА ПРИПРЕМУ </w:t>
      </w:r>
      <w:r w:rsidRPr="00746FCD">
        <w:rPr>
          <w:rFonts w:ascii="Times New Roman" w:eastAsia="Times New Roman" w:hAnsi="Times New Roman" w:cs="Times New Roman"/>
          <w:b/>
          <w:sz w:val="24"/>
          <w:szCs w:val="24"/>
        </w:rPr>
        <w:t>СТРУЧН</w:t>
      </w: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746FCD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</w:t>
      </w: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746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КВАЛИТЕТА РУКОПИСА И </w:t>
      </w:r>
      <w:r w:rsidRPr="003B2D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СТРУЧНОГ МИШЉЕЊА </w:t>
      </w:r>
    </w:p>
    <w:p w:rsidR="00663A53" w:rsidRDefault="00663A53" w:rsidP="00663A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BA083B" w:rsidRDefault="00663A53" w:rsidP="00663A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BC599F" w:rsidRDefault="00663A53" w:rsidP="00663A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Pr="00BC599F" w:rsidRDefault="00663A53" w:rsidP="00663A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C59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 правилника</w:t>
      </w:r>
    </w:p>
    <w:p w:rsidR="00663A53" w:rsidRDefault="00663A53" w:rsidP="00663A53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1.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Овим правилником уређују се ближи услови и критеријуми за избор других стручних лица која се ангажују ради давања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рукописа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уколико 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унапређивање образовања и васпитања (у даљем тексту: Завод)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надлежној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унапређења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стручно-истраживачког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предшколског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основног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средњег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5AC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4575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даљем тексту: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Покрајинск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запослена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одговарајућим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Овим правилником уређују се и ближи услови и критеријуми за избор одговарајућих стручњака као чланова комисије за припрему стручне оцене квалитета рукописа уџбеника, коју образује министар надлежан за послове образовања (у даљем тексту: министар), односно покрајински секретар надлежном за послове образовања (у даљем тексту: покрајински секретар) ради давања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рукописа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уколико Завод, односно Покрајински завод у законском року не достави стручну оцену.</w:t>
      </w:r>
    </w:p>
    <w:p w:rsidR="00663A53" w:rsidRPr="00C253EC" w:rsidRDefault="00663A53" w:rsidP="00663A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Овим правилником уређују се и ближи услови и критеријуми за избор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се ангажују ради давања стручног мишљења о</w:t>
      </w:r>
      <w:r w:rsidRPr="00E90C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квалитету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рукописа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приручника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игровних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Заво</w:t>
      </w:r>
      <w:r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Покрајинском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заводу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запослена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одговарајућим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3A53" w:rsidRPr="00BA083B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BC599F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 избор других стручних лица</w:t>
      </w:r>
    </w:p>
    <w:p w:rsidR="00663A53" w:rsidRDefault="00663A53" w:rsidP="00663A53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2.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Завод, односно Покрајински завод врши избор других стручних лица из члана 1. ст. 1. и 3. овог правилника на основу расписаног јавног позива.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Друга стручна лица из става 1. овог члана ангажују се на неодређено време, односно док испуњавају услове прописане законом и овим правилником.</w:t>
      </w:r>
    </w:p>
    <w:p w:rsidR="00663A53" w:rsidRDefault="00663A53" w:rsidP="00663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Јавни позив из става 1. овог члана садржи: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left="708" w:firstLine="1"/>
        <w:rPr>
          <w:lang w:val="sr-Cyrl-RS"/>
        </w:rPr>
      </w:pPr>
      <w:r>
        <w:t xml:space="preserve">1) назив предмета, односно стручне области и врсту </w:t>
      </w:r>
      <w:r w:rsidRPr="00042D86">
        <w:rPr>
          <w:lang w:val="sr-Cyrl-RS"/>
        </w:rPr>
        <w:t>школе</w:t>
      </w:r>
      <w:r>
        <w:rPr>
          <w:lang w:val="sr-Cyrl-RS"/>
        </w:rPr>
        <w:t xml:space="preserve"> </w:t>
      </w:r>
      <w:r>
        <w:t xml:space="preserve">и </w:t>
      </w:r>
      <w:r>
        <w:rPr>
          <w:lang w:val="sr-Cyrl-RS"/>
        </w:rPr>
        <w:t>ниво</w:t>
      </w:r>
      <w:r>
        <w:t xml:space="preserve"> образовања</w:t>
      </w:r>
      <w:r>
        <w:rPr>
          <w:lang w:val="sr-Cyrl-RS"/>
        </w:rPr>
        <w:t xml:space="preserve">; </w:t>
      </w:r>
      <w:r>
        <w:t xml:space="preserve">2) </w:t>
      </w:r>
      <w:r>
        <w:rPr>
          <w:lang w:val="sr-Cyrl-RS"/>
        </w:rPr>
        <w:t xml:space="preserve">услове потребне за избор других стручних лица; 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rPr>
          <w:lang w:val="sr-Cyrl-RS"/>
        </w:rPr>
        <w:t>3) критеријуме на основу којих се врши избор;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rPr>
          <w:lang w:val="sr-Cyrl-RS"/>
        </w:rPr>
        <w:t>4) начин бодовања критеријума на основу којих се врши избор;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</w:pPr>
      <w:r>
        <w:rPr>
          <w:lang w:val="sr-Cyrl-RS"/>
        </w:rPr>
        <w:t>5</w:t>
      </w:r>
      <w:r>
        <w:t>) рок за подношење пријава;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rPr>
          <w:lang w:val="sr-Cyrl-RS"/>
        </w:rPr>
        <w:t>6</w:t>
      </w:r>
      <w:r>
        <w:t>) друге потребне информације.</w:t>
      </w:r>
    </w:p>
    <w:p w:rsidR="00663A53" w:rsidRPr="00BA083B" w:rsidRDefault="00663A53" w:rsidP="00663A53">
      <w:pPr>
        <w:pStyle w:val="NormalWeb"/>
        <w:spacing w:before="0" w:beforeAutospacing="0" w:after="0" w:afterAutospacing="0" w:line="276" w:lineRule="auto"/>
        <w:ind w:firstLine="709"/>
        <w:rPr>
          <w:lang w:val="en-US"/>
        </w:rPr>
      </w:pPr>
    </w:p>
    <w:p w:rsidR="00663A53" w:rsidRPr="00916F0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16F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Услови за избор других стручних лица</w:t>
      </w:r>
    </w:p>
    <w:p w:rsidR="00663A5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3.</w:t>
      </w:r>
    </w:p>
    <w:p w:rsidR="00663A5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Услови за избор других стручних лица су:</w:t>
      </w:r>
    </w:p>
    <w:p w:rsidR="00663A53" w:rsidRDefault="00663A53" w:rsidP="00663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</w:t>
      </w:r>
      <w:r w:rsidRPr="003F151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 високо образовање за одређени предмет, односно стручну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1515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одговарајуће образовање за област уметничких </w:t>
      </w:r>
      <w:r w:rsidRPr="005B555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музичкој</w:t>
      </w:r>
      <w:proofErr w:type="spellEnd"/>
      <w:r w:rsidRPr="005B5552">
        <w:rPr>
          <w:rFonts w:ascii="Times New Roman" w:hAnsi="Times New Roman" w:cs="Times New Roman"/>
          <w:sz w:val="24"/>
          <w:szCs w:val="24"/>
          <w:lang w:val="sr-Cyrl-RS"/>
        </w:rPr>
        <w:t>, односно балетској</w:t>
      </w:r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r w:rsidRPr="005B5552">
        <w:rPr>
          <w:rFonts w:ascii="Times New Roman" w:hAnsi="Times New Roman" w:cs="Times New Roman"/>
          <w:sz w:val="24"/>
          <w:szCs w:val="24"/>
          <w:lang w:val="sr-Cyrl-RS"/>
        </w:rPr>
        <w:t xml:space="preserve">образују стручњаци на високошколским установама; </w:t>
      </w:r>
    </w:p>
    <w:p w:rsidR="00663A53" w:rsidRDefault="00663A53" w:rsidP="00663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2) најмање пет година радног искуства на одговарајућим пословима у области образовања и васпитања;</w:t>
      </w:r>
    </w:p>
    <w:p w:rsidR="00663A53" w:rsidRPr="00BA083B" w:rsidRDefault="00663A53" w:rsidP="00663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3) да није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повезан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изавачем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повезан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одговорним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повезано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посредну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непосредну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погодност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изузеће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>.</w:t>
      </w:r>
    </w:p>
    <w:p w:rsidR="00663A53" w:rsidRDefault="00663A53" w:rsidP="00663A5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663A53" w:rsidRPr="00360687" w:rsidRDefault="00663A53" w:rsidP="00663A5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Критеријуми за избор других стручних лица</w:t>
      </w:r>
    </w:p>
    <w:p w:rsidR="00663A53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4.</w:t>
      </w:r>
    </w:p>
    <w:p w:rsidR="00663A53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Критеријуми за избор других стручних лица су: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1) </w:t>
      </w:r>
      <w:r w:rsidRPr="00487210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прегледаних рукописа уџбеника, односно уџбеничких комплета (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приручника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  <w:lang w:val="sr-Cyrl-RS"/>
        </w:rPr>
        <w:t>, д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одатних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игровних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2) број објављених стручних, односно научних радова у одговарајућој области;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3) учешће у реализацији пројеката у области образовања и васпитања;</w:t>
      </w:r>
    </w:p>
    <w:p w:rsidR="00663A53" w:rsidRPr="00BA083B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4) стручно усавршавање и обука у одговарајућој области.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Pr="00AC72CD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C72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Вредновање критеријума за избор других стручних лица</w:t>
      </w:r>
    </w:p>
    <w:p w:rsidR="00663A53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5.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63A53" w:rsidRPr="00C85FEE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Завод, односно </w:t>
      </w:r>
      <w:r w:rsidRPr="00C85FE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Покрајински завод дужан је да критеријуме за избор других стручних лица вреднује применом правила бодовања, односно да утврди максималан број бодова за сваки појединачни критеријум.</w:t>
      </w: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85FE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Вредновање критеријума за избор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других стручних лица Завод, односно Покрајински завод утврђује пре објављивања јавног позива из члана 2. овог правилника. </w:t>
      </w:r>
    </w:p>
    <w:p w:rsidR="00663A53" w:rsidRPr="00BA083B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BC599F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Комисија за избор других стручних лица</w:t>
      </w:r>
    </w:p>
    <w:p w:rsidR="00663A53" w:rsidRPr="009A22EB" w:rsidRDefault="00663A53" w:rsidP="00663A53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6.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>Избор других стручних лица врши Комисија коју образује директор Завода, односно Покрајинског завода.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>Број чланова Комисије из става 1. овог члана је непаран.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 xml:space="preserve">Комисија врши избор других стручних лица у року од 30 дана од дана истека </w:t>
      </w:r>
      <w:proofErr w:type="spellStart"/>
      <w:r>
        <w:rPr>
          <w:lang w:val="sr-Cyrl-RS"/>
        </w:rPr>
        <w:t>рока</w:t>
      </w:r>
      <w:proofErr w:type="spellEnd"/>
      <w:r>
        <w:rPr>
          <w:lang w:val="sr-Cyrl-RS"/>
        </w:rPr>
        <w:t xml:space="preserve"> за подношење пријава на јавни позив из  члана 2. овог правилника.</w:t>
      </w:r>
    </w:p>
    <w:p w:rsidR="00663A53" w:rsidRDefault="00663A53" w:rsidP="00663A53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>Након провере испуњености услова за избор других стручних лица прописаних овим правилником и извршеног вредновања критеријума за избор других стручних лица, Комисија утврђује предлог о избору других стручних лица и доставља га директору Завода, односно Покрајинског завода.</w:t>
      </w:r>
    </w:p>
    <w:p w:rsidR="00663A53" w:rsidRPr="005B5FDC" w:rsidRDefault="00663A53" w:rsidP="00663A53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 xml:space="preserve">Директор Завода, односно Покрајинског завода доноси одлуку о избору других стручних лица у року од осам дана од дана пријема предлога Комисије. </w:t>
      </w:r>
    </w:p>
    <w:p w:rsidR="00663A53" w:rsidRDefault="00663A53" w:rsidP="00663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Изузетно, уколико се на јавни позив за избор других стручних лица не јаве лица која испуњавају прописане услове из члана 3. став 1.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тач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1) и 2) овог правилника, Завод, односно Покрајински завод, уз претходну сагласност министра, односно покрајинског </w:t>
      </w:r>
      <w:r w:rsidRPr="00C85FEE">
        <w:rPr>
          <w:rFonts w:ascii="Times New Roman" w:hAnsi="Times New Roman" w:cs="Times New Roman"/>
          <w:sz w:val="24"/>
          <w:szCs w:val="24"/>
          <w:lang w:val="sr-Cyrl-RS"/>
        </w:rPr>
        <w:t>секретара, ангажује друга стручна лица.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63A53" w:rsidRPr="009C60EC" w:rsidRDefault="00663A53" w:rsidP="00663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Лица из става 6. овог члана ангажују се до избора лица из члана 3. овог правилника.</w:t>
      </w:r>
    </w:p>
    <w:p w:rsidR="00663A53" w:rsidRPr="000017D2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Pr="008568B4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Услови и критеријуми за избор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одговарајућих стручњака</w:t>
      </w:r>
      <w:r w:rsidRPr="00B1025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чланове</w:t>
      </w:r>
      <w:r w:rsidRPr="003606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комисије за припрему стручне оцене </w:t>
      </w:r>
      <w:r w:rsidRPr="00EA03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</w:t>
      </w:r>
      <w:proofErr w:type="spellStart"/>
      <w:r w:rsidRPr="00EA0357">
        <w:rPr>
          <w:rFonts w:ascii="Times New Roman" w:eastAsia="Times New Roman" w:hAnsi="Times New Roman" w:cs="Times New Roman"/>
          <w:b/>
          <w:sz w:val="24"/>
          <w:szCs w:val="24"/>
        </w:rPr>
        <w:t>друг</w:t>
      </w:r>
      <w:proofErr w:type="spellEnd"/>
      <w:r w:rsidRPr="00EA03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их</w:t>
      </w:r>
      <w:r w:rsidRPr="00EA0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57">
        <w:rPr>
          <w:rFonts w:ascii="Times New Roman" w:eastAsia="Times New Roman" w:hAnsi="Times New Roman" w:cs="Times New Roman"/>
          <w:b/>
          <w:sz w:val="24"/>
          <w:szCs w:val="24"/>
        </w:rPr>
        <w:t>стручн</w:t>
      </w:r>
      <w:proofErr w:type="spellEnd"/>
      <w:r w:rsidRPr="00EA03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их</w:t>
      </w:r>
      <w:r w:rsidRPr="00EA0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357"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proofErr w:type="spellEnd"/>
      <w:r w:rsidRPr="00EA03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03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ради давања стручног мишљења</w:t>
      </w:r>
    </w:p>
    <w:p w:rsidR="00663A53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7.</w:t>
      </w:r>
    </w:p>
    <w:p w:rsidR="00663A53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Услови и критеријуми прописани овим правилником за избор других стручних лица која се ангажују ради давања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рукописа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уколико 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Заводу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Покрајинск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запослена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одговарајућим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017D2">
        <w:rPr>
          <w:rFonts w:ascii="Times New Roman" w:eastAsia="Times New Roman" w:hAnsi="Times New Roman" w:cs="Times New Roman"/>
          <w:sz w:val="24"/>
          <w:szCs w:val="24"/>
          <w:lang w:val="sr-Cyrl-RS"/>
        </w:rPr>
        <w:t>сходно се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примењују и на избор чланове комисије за припрему стручне оцене квалитета рукописа уџбеника, коју образује министар, односно покрајински секретар ради давања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рукописа</w:t>
      </w:r>
      <w:proofErr w:type="spellEnd"/>
      <w:r w:rsidRPr="001F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CA8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уколико Завод, односно Покрајински завод у законском року не достави стручну оцену, као и на избор</w:t>
      </w:r>
      <w:r w:rsidRPr="0057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се ангажују ради давања стручног мишљења о</w:t>
      </w:r>
      <w:r w:rsidRPr="00E90C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квалитету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рукописа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приручника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игровних</w:t>
      </w:r>
      <w:proofErr w:type="spellEnd"/>
      <w:r w:rsidRPr="00E9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B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Заво</w:t>
      </w:r>
      <w:r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Покрајинском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заводу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запослена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одговарајућим</w:t>
      </w:r>
      <w:proofErr w:type="spellEnd"/>
      <w:r w:rsidRPr="00C25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3EC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3A53" w:rsidRPr="00986B8F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8568B4" w:rsidRDefault="00663A53" w:rsidP="00663A5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006DCE">
        <w:rPr>
          <w:rFonts w:ascii="Times New Roman" w:hAnsi="Times New Roman" w:cs="Times New Roman"/>
          <w:b/>
          <w:sz w:val="24"/>
          <w:lang w:val="sr-Cyrl-RS"/>
        </w:rPr>
        <w:t>Прелазне и завршне одредбе</w:t>
      </w:r>
    </w:p>
    <w:p w:rsidR="00663A5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8.</w:t>
      </w:r>
    </w:p>
    <w:p w:rsidR="00663A5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Pr="00BA083B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Поступци стручне оцене квалитета рукописа уџбеника започети пре ступања на снагу овог правилника окончаће се по прописима који су важили до ступања на снагу овог правилника.</w:t>
      </w:r>
      <w:bookmarkStart w:id="0" w:name="_GoBack"/>
      <w:bookmarkEnd w:id="0"/>
    </w:p>
    <w:p w:rsidR="00663A5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9.</w:t>
      </w:r>
    </w:p>
    <w:p w:rsidR="00663A53" w:rsidRDefault="00663A53" w:rsidP="00663A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Даном ступања на снагу овог правилника престаје да важи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оцењивача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оцењиваче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етичком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кодексу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одобравања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именовања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0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DCE">
        <w:rPr>
          <w:rFonts w:ascii="Times New Roman" w:eastAsia="Times New Roman" w:hAnsi="Times New Roman" w:cs="Times New Roman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sz w:val="24"/>
          <w:szCs w:val="24"/>
        </w:rPr>
        <w:t>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рукописа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</w:t>
      </w:r>
      <w:r w:rsidRPr="00DA1B84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87/15 и 75/16).</w:t>
      </w:r>
    </w:p>
    <w:p w:rsidR="00663A53" w:rsidRPr="00BA083B" w:rsidRDefault="00663A53" w:rsidP="00663A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136406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364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Ступање на снагу</w:t>
      </w:r>
    </w:p>
    <w:p w:rsidR="00663A5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10.</w:t>
      </w:r>
    </w:p>
    <w:p w:rsidR="00663A53" w:rsidRDefault="00663A53" w:rsidP="00663A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Pr="00136406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Овај правилник ступа на снагу осмог дана од дана објављивања у „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Службеном гласнику Републике Србије</w:t>
      </w:r>
      <w:r w:rsidRPr="00DA1B84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3A53" w:rsidRPr="00136406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BA083B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53" w:rsidRPr="00136406" w:rsidRDefault="00663A53" w:rsidP="00663A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63A53" w:rsidRPr="00136406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6406"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110-00-00692/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Latn-RS"/>
        </w:rPr>
        <w:t>201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</w:p>
    <w:p w:rsidR="00663A53" w:rsidRPr="00136406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640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У Београду,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 новембра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201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Latn-RS"/>
        </w:rPr>
        <w:t>одине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М И Н И С Т А Р</w:t>
      </w:r>
    </w:p>
    <w:p w:rsidR="00663A53" w:rsidRPr="00136406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Младен </w:t>
      </w:r>
      <w:proofErr w:type="spellStart"/>
      <w:r w:rsidRPr="00136406">
        <w:rPr>
          <w:rFonts w:ascii="Times New Roman" w:eastAsia="Times New Roman" w:hAnsi="Times New Roman" w:cs="Times New Roman"/>
          <w:sz w:val="24"/>
          <w:szCs w:val="24"/>
          <w:lang w:val="sr-Cyrl-RS"/>
        </w:rPr>
        <w:t>Шарчевић</w:t>
      </w:r>
      <w:proofErr w:type="spellEnd"/>
    </w:p>
    <w:p w:rsidR="00663A53" w:rsidRPr="00136406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63A53" w:rsidRDefault="00663A53" w:rsidP="00663A53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Default="00663A53" w:rsidP="00663A53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3A53" w:rsidRPr="00795C4B" w:rsidRDefault="00663A53" w:rsidP="00663A53">
      <w:pPr>
        <w:jc w:val="center"/>
        <w:rPr>
          <w:lang w:val="sr-Cyrl-RS"/>
        </w:rPr>
      </w:pPr>
    </w:p>
    <w:p w:rsidR="00795C4B" w:rsidRPr="00663A53" w:rsidRDefault="00795C4B" w:rsidP="00663A53"/>
    <w:sectPr w:rsidR="00795C4B" w:rsidRPr="0066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39C"/>
    <w:multiLevelType w:val="hybridMultilevel"/>
    <w:tmpl w:val="2FF8BFE2"/>
    <w:lvl w:ilvl="0" w:tplc="EA14C5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3D4266"/>
    <w:multiLevelType w:val="hybridMultilevel"/>
    <w:tmpl w:val="08863C46"/>
    <w:lvl w:ilvl="0" w:tplc="17CC34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C837ED"/>
    <w:multiLevelType w:val="hybridMultilevel"/>
    <w:tmpl w:val="40D48AB4"/>
    <w:lvl w:ilvl="0" w:tplc="9FD89AC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 w:val="0"/>
      </w:rPr>
    </w:lvl>
    <w:lvl w:ilvl="1" w:tplc="241A0019">
      <w:start w:val="1"/>
      <w:numFmt w:val="lowerLetter"/>
      <w:lvlText w:val="%2."/>
      <w:lvlJc w:val="left"/>
      <w:pPr>
        <w:ind w:left="3240" w:hanging="360"/>
      </w:pPr>
    </w:lvl>
    <w:lvl w:ilvl="2" w:tplc="241A001B">
      <w:start w:val="1"/>
      <w:numFmt w:val="lowerRoman"/>
      <w:lvlText w:val="%3."/>
      <w:lvlJc w:val="right"/>
      <w:pPr>
        <w:ind w:left="3960" w:hanging="180"/>
      </w:pPr>
    </w:lvl>
    <w:lvl w:ilvl="3" w:tplc="241A000F">
      <w:start w:val="1"/>
      <w:numFmt w:val="decimal"/>
      <w:lvlText w:val="%4."/>
      <w:lvlJc w:val="left"/>
      <w:pPr>
        <w:ind w:left="4680" w:hanging="360"/>
      </w:pPr>
    </w:lvl>
    <w:lvl w:ilvl="4" w:tplc="241A0019">
      <w:start w:val="1"/>
      <w:numFmt w:val="lowerLetter"/>
      <w:lvlText w:val="%5."/>
      <w:lvlJc w:val="left"/>
      <w:pPr>
        <w:ind w:left="5400" w:hanging="360"/>
      </w:pPr>
    </w:lvl>
    <w:lvl w:ilvl="5" w:tplc="241A001B">
      <w:start w:val="1"/>
      <w:numFmt w:val="lowerRoman"/>
      <w:lvlText w:val="%6."/>
      <w:lvlJc w:val="right"/>
      <w:pPr>
        <w:ind w:left="6120" w:hanging="180"/>
      </w:pPr>
    </w:lvl>
    <w:lvl w:ilvl="6" w:tplc="241A000F">
      <w:start w:val="1"/>
      <w:numFmt w:val="decimal"/>
      <w:lvlText w:val="%7."/>
      <w:lvlJc w:val="left"/>
      <w:pPr>
        <w:ind w:left="6840" w:hanging="360"/>
      </w:pPr>
    </w:lvl>
    <w:lvl w:ilvl="7" w:tplc="241A0019">
      <w:start w:val="1"/>
      <w:numFmt w:val="lowerLetter"/>
      <w:lvlText w:val="%8."/>
      <w:lvlJc w:val="left"/>
      <w:pPr>
        <w:ind w:left="7560" w:hanging="360"/>
      </w:pPr>
    </w:lvl>
    <w:lvl w:ilvl="8" w:tplc="241A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4A50632"/>
    <w:multiLevelType w:val="hybridMultilevel"/>
    <w:tmpl w:val="9A8C6720"/>
    <w:lvl w:ilvl="0" w:tplc="05169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442715"/>
    <w:multiLevelType w:val="hybridMultilevel"/>
    <w:tmpl w:val="C33A16EA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5"/>
    <w:rsid w:val="000017D2"/>
    <w:rsid w:val="00004DD0"/>
    <w:rsid w:val="00006DCE"/>
    <w:rsid w:val="000240D6"/>
    <w:rsid w:val="00042D86"/>
    <w:rsid w:val="00092F71"/>
    <w:rsid w:val="000B3C5D"/>
    <w:rsid w:val="001061B2"/>
    <w:rsid w:val="00133D4D"/>
    <w:rsid w:val="00136406"/>
    <w:rsid w:val="001601A4"/>
    <w:rsid w:val="001D6A9F"/>
    <w:rsid w:val="001F0CB9"/>
    <w:rsid w:val="001F6CA8"/>
    <w:rsid w:val="00240182"/>
    <w:rsid w:val="002864C7"/>
    <w:rsid w:val="002B4C7E"/>
    <w:rsid w:val="002B5EB3"/>
    <w:rsid w:val="002C29C5"/>
    <w:rsid w:val="002E12B4"/>
    <w:rsid w:val="00303403"/>
    <w:rsid w:val="00360687"/>
    <w:rsid w:val="003B2DEA"/>
    <w:rsid w:val="003E57CD"/>
    <w:rsid w:val="003F1515"/>
    <w:rsid w:val="004069E3"/>
    <w:rsid w:val="004156B8"/>
    <w:rsid w:val="00437B3B"/>
    <w:rsid w:val="004575AC"/>
    <w:rsid w:val="00487210"/>
    <w:rsid w:val="004E7765"/>
    <w:rsid w:val="0053396B"/>
    <w:rsid w:val="0053779C"/>
    <w:rsid w:val="005429ED"/>
    <w:rsid w:val="00556DB9"/>
    <w:rsid w:val="00571DC5"/>
    <w:rsid w:val="005B5552"/>
    <w:rsid w:val="005B5FDC"/>
    <w:rsid w:val="005E063C"/>
    <w:rsid w:val="00632D79"/>
    <w:rsid w:val="00663A53"/>
    <w:rsid w:val="00664A83"/>
    <w:rsid w:val="006A09B4"/>
    <w:rsid w:val="006B22B1"/>
    <w:rsid w:val="006C6C1F"/>
    <w:rsid w:val="006E3E1B"/>
    <w:rsid w:val="00746FCD"/>
    <w:rsid w:val="00790ACB"/>
    <w:rsid w:val="00795C4B"/>
    <w:rsid w:val="0080409C"/>
    <w:rsid w:val="00852416"/>
    <w:rsid w:val="008568B4"/>
    <w:rsid w:val="008704C5"/>
    <w:rsid w:val="008962E7"/>
    <w:rsid w:val="008D1286"/>
    <w:rsid w:val="00916F03"/>
    <w:rsid w:val="00931708"/>
    <w:rsid w:val="009364AD"/>
    <w:rsid w:val="00992B3E"/>
    <w:rsid w:val="009A22EB"/>
    <w:rsid w:val="009C60EC"/>
    <w:rsid w:val="00A325AC"/>
    <w:rsid w:val="00AC3377"/>
    <w:rsid w:val="00AC72CD"/>
    <w:rsid w:val="00AD3A83"/>
    <w:rsid w:val="00AE252C"/>
    <w:rsid w:val="00B54E83"/>
    <w:rsid w:val="00B70BF9"/>
    <w:rsid w:val="00B75E54"/>
    <w:rsid w:val="00B854C2"/>
    <w:rsid w:val="00BA083B"/>
    <w:rsid w:val="00BC213E"/>
    <w:rsid w:val="00BC599F"/>
    <w:rsid w:val="00C22D25"/>
    <w:rsid w:val="00C253EC"/>
    <w:rsid w:val="00C44E8F"/>
    <w:rsid w:val="00C83564"/>
    <w:rsid w:val="00C85FEE"/>
    <w:rsid w:val="00CB7779"/>
    <w:rsid w:val="00D1174B"/>
    <w:rsid w:val="00D1212D"/>
    <w:rsid w:val="00D26743"/>
    <w:rsid w:val="00D61D65"/>
    <w:rsid w:val="00DA1B84"/>
    <w:rsid w:val="00DF68F8"/>
    <w:rsid w:val="00E126FA"/>
    <w:rsid w:val="00E90CB6"/>
    <w:rsid w:val="00EA0357"/>
    <w:rsid w:val="00EC1FAA"/>
    <w:rsid w:val="00EE272F"/>
    <w:rsid w:val="00F1757B"/>
    <w:rsid w:val="00F1770C"/>
    <w:rsid w:val="00F370A8"/>
    <w:rsid w:val="00F63EFB"/>
    <w:rsid w:val="00F810F6"/>
    <w:rsid w:val="00F812C0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D2"/>
    <w:pPr>
      <w:spacing w:after="200" w:line="276" w:lineRule="auto"/>
      <w:ind w:firstLine="0"/>
      <w:jc w:val="left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339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85F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D2"/>
    <w:pPr>
      <w:spacing w:after="200" w:line="276" w:lineRule="auto"/>
      <w:ind w:firstLine="0"/>
      <w:jc w:val="left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339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8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85F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2.cekos.com/ce/index.xhtml?&amp;file=f68682&amp;action=propis&amp;path=06868201.html&amp;domen=0&amp;mark=false&amp;query=&amp;tipPretrage=1&amp;tipPropisa=1&amp;domen=0&amp;mojiPropisi=false&amp;datumOd=&amp;datumDo=&amp;groups=-%40--%40--%40--%40--%40-&amp;anchor=c0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759C-8EAF-4229-8525-BE4F083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Natasa Mujagic</cp:lastModifiedBy>
  <cp:revision>22</cp:revision>
  <cp:lastPrinted>2018-11-28T12:08:00Z</cp:lastPrinted>
  <dcterms:created xsi:type="dcterms:W3CDTF">2018-04-20T09:23:00Z</dcterms:created>
  <dcterms:modified xsi:type="dcterms:W3CDTF">2018-11-28T12:08:00Z</dcterms:modified>
</cp:coreProperties>
</file>